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AB" w:rsidRDefault="005B7E33" w:rsidP="00B11855">
      <w:pPr>
        <w:jc w:val="both"/>
        <w:rPr>
          <w:b/>
        </w:rPr>
      </w:pPr>
      <w:bookmarkStart w:id="0" w:name="_GoBack"/>
      <w:bookmarkEnd w:id="0"/>
      <w:r w:rsidRPr="00B54732">
        <w:rPr>
          <w:noProof/>
          <w:lang w:eastAsia="en-GB"/>
        </w:rPr>
        <w:drawing>
          <wp:anchor distT="0" distB="0" distL="114300" distR="114300" simplePos="0" relativeHeight="251658240" behindDoc="1" locked="0" layoutInCell="1" allowOverlap="1" wp14:anchorId="6B95FE19" wp14:editId="7442056E">
            <wp:simplePos x="0" y="0"/>
            <wp:positionH relativeFrom="margin">
              <wp:posOffset>4180840</wp:posOffset>
            </wp:positionH>
            <wp:positionV relativeFrom="margin">
              <wp:posOffset>85725</wp:posOffset>
            </wp:positionV>
            <wp:extent cx="1550670" cy="754380"/>
            <wp:effectExtent l="0" t="0" r="0" b="7620"/>
            <wp:wrapSquare wrapText="bothSides"/>
            <wp:docPr id="2"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pic:spPr>
                </pic:pic>
              </a:graphicData>
            </a:graphic>
            <wp14:sizeRelH relativeFrom="page">
              <wp14:pctWidth>0</wp14:pctWidth>
            </wp14:sizeRelH>
            <wp14:sizeRelV relativeFrom="page">
              <wp14:pctHeight>0</wp14:pctHeight>
            </wp14:sizeRelV>
          </wp:anchor>
        </w:drawing>
      </w:r>
      <w:r w:rsidR="00E92FAB">
        <w:rPr>
          <w:b/>
          <w:noProof/>
          <w:lang w:eastAsia="en-GB"/>
        </w:rPr>
        <w:drawing>
          <wp:inline distT="0" distB="0" distL="0" distR="0" wp14:anchorId="416FA802" wp14:editId="738D2F2A">
            <wp:extent cx="1638300" cy="82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526" cy="845237"/>
                    </a:xfrm>
                    <a:prstGeom prst="rect">
                      <a:avLst/>
                    </a:prstGeom>
                    <a:noFill/>
                    <a:ln>
                      <a:noFill/>
                    </a:ln>
                  </pic:spPr>
                </pic:pic>
              </a:graphicData>
            </a:graphic>
          </wp:inline>
        </w:drawing>
      </w:r>
    </w:p>
    <w:p w:rsidR="00E92FAB" w:rsidRDefault="005B7E33" w:rsidP="00E92FAB">
      <w:pPr>
        <w:jc w:val="center"/>
        <w:rPr>
          <w:b/>
          <w:color w:val="4F81BD" w:themeColor="accent1"/>
          <w:sz w:val="40"/>
          <w:szCs w:val="40"/>
        </w:rPr>
      </w:pPr>
      <w:r>
        <w:rPr>
          <w:b/>
          <w:color w:val="4F81BD" w:themeColor="accent1"/>
          <w:sz w:val="40"/>
          <w:szCs w:val="40"/>
        </w:rPr>
        <w:t>M</w:t>
      </w:r>
      <w:r w:rsidR="00E92FAB" w:rsidRPr="00E92FAB">
        <w:rPr>
          <w:b/>
          <w:color w:val="4F81BD" w:themeColor="accent1"/>
          <w:sz w:val="40"/>
          <w:szCs w:val="40"/>
        </w:rPr>
        <w:t>TS IRG Meeting –</w:t>
      </w:r>
      <w:r w:rsidR="00E92FAB">
        <w:rPr>
          <w:b/>
          <w:color w:val="4F81BD" w:themeColor="accent1"/>
          <w:sz w:val="40"/>
          <w:szCs w:val="40"/>
        </w:rPr>
        <w:t xml:space="preserve"> Quarry Bank Mill</w:t>
      </w:r>
    </w:p>
    <w:p w:rsidR="00E92FAB" w:rsidRDefault="00E92FAB" w:rsidP="00E92FAB">
      <w:pPr>
        <w:jc w:val="center"/>
        <w:rPr>
          <w:b/>
          <w:color w:val="4F81BD" w:themeColor="accent1"/>
          <w:sz w:val="40"/>
          <w:szCs w:val="40"/>
        </w:rPr>
      </w:pPr>
      <w:r>
        <w:rPr>
          <w:b/>
          <w:color w:val="4F81BD" w:themeColor="accent1"/>
          <w:sz w:val="40"/>
          <w:szCs w:val="40"/>
        </w:rPr>
        <w:t>Manchester, 12</w:t>
      </w:r>
      <w:r w:rsidRPr="00E92FAB">
        <w:rPr>
          <w:b/>
          <w:color w:val="4F81BD" w:themeColor="accent1"/>
          <w:sz w:val="40"/>
          <w:szCs w:val="40"/>
          <w:vertAlign w:val="superscript"/>
        </w:rPr>
        <w:t>th</w:t>
      </w:r>
      <w:r>
        <w:rPr>
          <w:b/>
          <w:color w:val="4F81BD" w:themeColor="accent1"/>
          <w:sz w:val="40"/>
          <w:szCs w:val="40"/>
        </w:rPr>
        <w:t xml:space="preserve"> October 2017</w:t>
      </w:r>
    </w:p>
    <w:tbl>
      <w:tblPr>
        <w:tblStyle w:val="Tabellrutenett"/>
        <w:tblW w:w="0" w:type="auto"/>
        <w:tblLook w:val="04A0" w:firstRow="1" w:lastRow="0" w:firstColumn="1" w:lastColumn="0" w:noHBand="0" w:noVBand="1"/>
      </w:tblPr>
      <w:tblGrid>
        <w:gridCol w:w="3223"/>
        <w:gridCol w:w="1450"/>
        <w:gridCol w:w="4343"/>
      </w:tblGrid>
      <w:tr w:rsidR="001A42B2" w:rsidTr="001A42B2">
        <w:tc>
          <w:tcPr>
            <w:tcW w:w="3223" w:type="dxa"/>
          </w:tcPr>
          <w:p w:rsidR="001A42B2" w:rsidRPr="00E92FAB" w:rsidRDefault="001A42B2" w:rsidP="00E92FAB">
            <w:pPr>
              <w:jc w:val="center"/>
              <w:rPr>
                <w:b/>
                <w:color w:val="4F81BD" w:themeColor="accent1"/>
                <w:sz w:val="28"/>
                <w:szCs w:val="28"/>
              </w:rPr>
            </w:pPr>
            <w:r w:rsidRPr="00E92FAB">
              <w:rPr>
                <w:b/>
                <w:color w:val="4F81BD" w:themeColor="accent1"/>
                <w:sz w:val="28"/>
                <w:szCs w:val="28"/>
              </w:rPr>
              <w:t>In attendance</w:t>
            </w:r>
          </w:p>
        </w:tc>
        <w:tc>
          <w:tcPr>
            <w:tcW w:w="1450" w:type="dxa"/>
          </w:tcPr>
          <w:p w:rsidR="001A42B2" w:rsidRPr="00E92FAB" w:rsidRDefault="001A42B2" w:rsidP="00E92FAB">
            <w:pPr>
              <w:jc w:val="center"/>
              <w:rPr>
                <w:b/>
                <w:color w:val="4F81BD" w:themeColor="accent1"/>
                <w:sz w:val="28"/>
                <w:szCs w:val="28"/>
              </w:rPr>
            </w:pPr>
          </w:p>
        </w:tc>
        <w:tc>
          <w:tcPr>
            <w:tcW w:w="4343" w:type="dxa"/>
          </w:tcPr>
          <w:p w:rsidR="001A42B2" w:rsidRPr="00E92FAB" w:rsidRDefault="001A42B2" w:rsidP="00E92FAB">
            <w:pPr>
              <w:jc w:val="center"/>
              <w:rPr>
                <w:b/>
                <w:color w:val="4F81BD" w:themeColor="accent1"/>
                <w:sz w:val="28"/>
                <w:szCs w:val="28"/>
              </w:rPr>
            </w:pPr>
            <w:r w:rsidRPr="00E92FAB">
              <w:rPr>
                <w:b/>
                <w:color w:val="4F81BD" w:themeColor="accent1"/>
                <w:sz w:val="28"/>
                <w:szCs w:val="28"/>
              </w:rPr>
              <w:t>Apologies</w:t>
            </w:r>
          </w:p>
        </w:tc>
      </w:tr>
      <w:tr w:rsidR="001A42B2" w:rsidTr="001A42B2">
        <w:tc>
          <w:tcPr>
            <w:tcW w:w="3223" w:type="dxa"/>
          </w:tcPr>
          <w:p w:rsidR="001A42B2" w:rsidRPr="00E92FAB" w:rsidRDefault="001A42B2" w:rsidP="007070B1">
            <w:pPr>
              <w:rPr>
                <w:sz w:val="24"/>
                <w:szCs w:val="24"/>
              </w:rPr>
            </w:pPr>
            <w:r>
              <w:rPr>
                <w:sz w:val="24"/>
                <w:szCs w:val="24"/>
              </w:rPr>
              <w:t>Susanne Greber-Platzer</w:t>
            </w:r>
          </w:p>
        </w:tc>
        <w:tc>
          <w:tcPr>
            <w:tcW w:w="1450" w:type="dxa"/>
          </w:tcPr>
          <w:p w:rsidR="001A42B2" w:rsidRDefault="001A42B2" w:rsidP="007070B1">
            <w:pPr>
              <w:rPr>
                <w:sz w:val="24"/>
                <w:szCs w:val="24"/>
              </w:rPr>
            </w:pPr>
            <w:r>
              <w:rPr>
                <w:sz w:val="24"/>
                <w:szCs w:val="24"/>
              </w:rPr>
              <w:t>Austria</w:t>
            </w:r>
          </w:p>
        </w:tc>
        <w:tc>
          <w:tcPr>
            <w:tcW w:w="4343" w:type="dxa"/>
          </w:tcPr>
          <w:p w:rsidR="001A42B2" w:rsidRPr="00E92FAB" w:rsidRDefault="001A42B2" w:rsidP="007070B1">
            <w:pPr>
              <w:rPr>
                <w:sz w:val="24"/>
                <w:szCs w:val="24"/>
              </w:rPr>
            </w:pPr>
            <w:r>
              <w:rPr>
                <w:sz w:val="24"/>
                <w:szCs w:val="24"/>
              </w:rPr>
              <w:t>Welfane Cordero</w:t>
            </w:r>
          </w:p>
        </w:tc>
      </w:tr>
      <w:tr w:rsidR="001A42B2" w:rsidTr="001A42B2">
        <w:tc>
          <w:tcPr>
            <w:tcW w:w="3223" w:type="dxa"/>
          </w:tcPr>
          <w:p w:rsidR="001A42B2" w:rsidRPr="00E92FAB" w:rsidRDefault="001A42B2" w:rsidP="007070B1">
            <w:pPr>
              <w:rPr>
                <w:sz w:val="24"/>
                <w:szCs w:val="24"/>
              </w:rPr>
            </w:pPr>
            <w:r>
              <w:rPr>
                <w:sz w:val="24"/>
                <w:szCs w:val="24"/>
              </w:rPr>
              <w:t>Andreas Zundal</w:t>
            </w:r>
          </w:p>
        </w:tc>
        <w:tc>
          <w:tcPr>
            <w:tcW w:w="1450" w:type="dxa"/>
          </w:tcPr>
          <w:p w:rsidR="001A42B2" w:rsidRDefault="001A42B2" w:rsidP="007070B1">
            <w:pPr>
              <w:rPr>
                <w:sz w:val="24"/>
                <w:szCs w:val="24"/>
              </w:rPr>
            </w:pPr>
            <w:r>
              <w:rPr>
                <w:sz w:val="24"/>
                <w:szCs w:val="24"/>
              </w:rPr>
              <w:t>Austria</w:t>
            </w:r>
          </w:p>
        </w:tc>
        <w:tc>
          <w:tcPr>
            <w:tcW w:w="4343" w:type="dxa"/>
          </w:tcPr>
          <w:p w:rsidR="001A42B2" w:rsidRPr="00E92FAB" w:rsidRDefault="001A42B2" w:rsidP="007070B1">
            <w:pPr>
              <w:rPr>
                <w:sz w:val="24"/>
                <w:szCs w:val="24"/>
              </w:rPr>
            </w:pPr>
            <w:r>
              <w:rPr>
                <w:sz w:val="24"/>
                <w:szCs w:val="24"/>
              </w:rPr>
              <w:t>Cintia Alacantra de Carvalo</w:t>
            </w:r>
          </w:p>
        </w:tc>
      </w:tr>
      <w:tr w:rsidR="001A42B2" w:rsidTr="001A42B2">
        <w:tc>
          <w:tcPr>
            <w:tcW w:w="3223" w:type="dxa"/>
          </w:tcPr>
          <w:p w:rsidR="001A42B2" w:rsidRDefault="001A42B2" w:rsidP="007070B1">
            <w:pPr>
              <w:rPr>
                <w:sz w:val="24"/>
                <w:szCs w:val="24"/>
              </w:rPr>
            </w:pPr>
            <w:r>
              <w:rPr>
                <w:sz w:val="24"/>
                <w:szCs w:val="24"/>
              </w:rPr>
              <w:t>Max Bures</w:t>
            </w:r>
          </w:p>
        </w:tc>
        <w:tc>
          <w:tcPr>
            <w:tcW w:w="1450" w:type="dxa"/>
          </w:tcPr>
          <w:p w:rsidR="001A42B2" w:rsidRDefault="001A42B2" w:rsidP="007070B1">
            <w:pPr>
              <w:rPr>
                <w:sz w:val="24"/>
                <w:szCs w:val="24"/>
              </w:rPr>
            </w:pPr>
            <w:r>
              <w:rPr>
                <w:sz w:val="24"/>
                <w:szCs w:val="24"/>
              </w:rPr>
              <w:t>Austria</w:t>
            </w:r>
          </w:p>
        </w:tc>
        <w:tc>
          <w:tcPr>
            <w:tcW w:w="4343" w:type="dxa"/>
          </w:tcPr>
          <w:p w:rsidR="001A42B2" w:rsidRPr="00E92FAB" w:rsidRDefault="001A42B2" w:rsidP="007070B1">
            <w:pPr>
              <w:rPr>
                <w:sz w:val="24"/>
                <w:szCs w:val="24"/>
              </w:rPr>
            </w:pPr>
            <w:r>
              <w:rPr>
                <w:sz w:val="24"/>
                <w:szCs w:val="24"/>
              </w:rPr>
              <w:t>Juan Carlos Medina</w:t>
            </w:r>
          </w:p>
        </w:tc>
      </w:tr>
      <w:tr w:rsidR="001A42B2" w:rsidTr="001A42B2">
        <w:tc>
          <w:tcPr>
            <w:tcW w:w="3223" w:type="dxa"/>
          </w:tcPr>
          <w:p w:rsidR="001A42B2" w:rsidRPr="00E92FAB" w:rsidRDefault="001A42B2" w:rsidP="007070B1">
            <w:pPr>
              <w:rPr>
                <w:sz w:val="24"/>
                <w:szCs w:val="24"/>
              </w:rPr>
            </w:pPr>
            <w:r>
              <w:rPr>
                <w:sz w:val="24"/>
                <w:szCs w:val="24"/>
              </w:rPr>
              <w:t>Maria do Carmos Rausch</w:t>
            </w:r>
          </w:p>
        </w:tc>
        <w:tc>
          <w:tcPr>
            <w:tcW w:w="1450" w:type="dxa"/>
          </w:tcPr>
          <w:p w:rsidR="001A42B2" w:rsidRDefault="001A42B2" w:rsidP="007070B1">
            <w:pPr>
              <w:rPr>
                <w:sz w:val="24"/>
                <w:szCs w:val="24"/>
              </w:rPr>
            </w:pPr>
            <w:r>
              <w:rPr>
                <w:sz w:val="24"/>
                <w:szCs w:val="24"/>
              </w:rPr>
              <w:t>Brazil</w:t>
            </w:r>
          </w:p>
        </w:tc>
        <w:tc>
          <w:tcPr>
            <w:tcW w:w="4343" w:type="dxa"/>
          </w:tcPr>
          <w:p w:rsidR="001A42B2" w:rsidRPr="00E92FAB" w:rsidRDefault="001A42B2" w:rsidP="007070B1">
            <w:pPr>
              <w:rPr>
                <w:sz w:val="24"/>
                <w:szCs w:val="24"/>
              </w:rPr>
            </w:pPr>
            <w:r>
              <w:rPr>
                <w:sz w:val="24"/>
                <w:szCs w:val="24"/>
              </w:rPr>
              <w:t>Gema Garcia Riestra</w:t>
            </w:r>
          </w:p>
        </w:tc>
      </w:tr>
      <w:tr w:rsidR="001A42B2" w:rsidTr="001A42B2">
        <w:tc>
          <w:tcPr>
            <w:tcW w:w="3223" w:type="dxa"/>
          </w:tcPr>
          <w:p w:rsidR="001A42B2" w:rsidRPr="00E92FAB" w:rsidRDefault="001A42B2" w:rsidP="007070B1">
            <w:pPr>
              <w:rPr>
                <w:sz w:val="24"/>
                <w:szCs w:val="24"/>
              </w:rPr>
            </w:pPr>
            <w:r>
              <w:rPr>
                <w:sz w:val="24"/>
                <w:szCs w:val="24"/>
              </w:rPr>
              <w:t>Paula Rocha</w:t>
            </w:r>
          </w:p>
        </w:tc>
        <w:tc>
          <w:tcPr>
            <w:tcW w:w="1450" w:type="dxa"/>
          </w:tcPr>
          <w:p w:rsidR="001A42B2" w:rsidRDefault="001A42B2" w:rsidP="007070B1">
            <w:pPr>
              <w:rPr>
                <w:sz w:val="24"/>
                <w:szCs w:val="24"/>
              </w:rPr>
            </w:pPr>
            <w:r>
              <w:rPr>
                <w:sz w:val="24"/>
                <w:szCs w:val="24"/>
              </w:rPr>
              <w:t>Brazil</w:t>
            </w:r>
          </w:p>
        </w:tc>
        <w:tc>
          <w:tcPr>
            <w:tcW w:w="4343" w:type="dxa"/>
          </w:tcPr>
          <w:p w:rsidR="001A42B2" w:rsidRPr="00E92FAB" w:rsidRDefault="001A42B2" w:rsidP="007070B1">
            <w:pPr>
              <w:rPr>
                <w:sz w:val="24"/>
                <w:szCs w:val="24"/>
              </w:rPr>
            </w:pPr>
            <w:r>
              <w:rPr>
                <w:sz w:val="24"/>
                <w:szCs w:val="24"/>
              </w:rPr>
              <w:t>Gabriel Redondo Torres</w:t>
            </w:r>
          </w:p>
        </w:tc>
      </w:tr>
      <w:tr w:rsidR="001A42B2" w:rsidTr="001A42B2">
        <w:tc>
          <w:tcPr>
            <w:tcW w:w="3223" w:type="dxa"/>
          </w:tcPr>
          <w:p w:rsidR="001A42B2" w:rsidRPr="00E92FAB" w:rsidRDefault="001A42B2" w:rsidP="007070B1">
            <w:pPr>
              <w:rPr>
                <w:sz w:val="24"/>
                <w:szCs w:val="24"/>
              </w:rPr>
            </w:pPr>
            <w:r>
              <w:rPr>
                <w:sz w:val="24"/>
                <w:szCs w:val="24"/>
              </w:rPr>
              <w:t>Jorg Krey</w:t>
            </w:r>
          </w:p>
        </w:tc>
        <w:tc>
          <w:tcPr>
            <w:tcW w:w="1450" w:type="dxa"/>
          </w:tcPr>
          <w:p w:rsidR="001A42B2" w:rsidRDefault="001A42B2" w:rsidP="007070B1">
            <w:pPr>
              <w:rPr>
                <w:sz w:val="24"/>
                <w:szCs w:val="24"/>
              </w:rPr>
            </w:pPr>
            <w:r>
              <w:rPr>
                <w:sz w:val="24"/>
                <w:szCs w:val="24"/>
              </w:rPr>
              <w:t>Germany</w:t>
            </w:r>
          </w:p>
        </w:tc>
        <w:tc>
          <w:tcPr>
            <w:tcW w:w="4343" w:type="dxa"/>
          </w:tcPr>
          <w:p w:rsidR="001A42B2" w:rsidRPr="00E92FAB" w:rsidRDefault="001A42B2" w:rsidP="007070B1">
            <w:pPr>
              <w:rPr>
                <w:sz w:val="24"/>
                <w:szCs w:val="24"/>
              </w:rPr>
            </w:pPr>
            <w:r>
              <w:rPr>
                <w:sz w:val="24"/>
                <w:szCs w:val="24"/>
              </w:rPr>
              <w:t>Stefan Kovacevic</w:t>
            </w:r>
          </w:p>
        </w:tc>
      </w:tr>
      <w:tr w:rsidR="001A42B2" w:rsidTr="001A42B2">
        <w:tc>
          <w:tcPr>
            <w:tcW w:w="3223" w:type="dxa"/>
          </w:tcPr>
          <w:p w:rsidR="001A42B2" w:rsidRPr="00E92FAB" w:rsidRDefault="001A42B2" w:rsidP="007070B1">
            <w:pPr>
              <w:rPr>
                <w:sz w:val="24"/>
                <w:szCs w:val="24"/>
              </w:rPr>
            </w:pPr>
            <w:r>
              <w:rPr>
                <w:sz w:val="24"/>
                <w:szCs w:val="24"/>
              </w:rPr>
              <w:t>Peter Niebuhr</w:t>
            </w:r>
          </w:p>
        </w:tc>
        <w:tc>
          <w:tcPr>
            <w:tcW w:w="1450" w:type="dxa"/>
          </w:tcPr>
          <w:p w:rsidR="001A42B2" w:rsidRDefault="001A42B2" w:rsidP="007070B1">
            <w:pPr>
              <w:rPr>
                <w:sz w:val="24"/>
                <w:szCs w:val="24"/>
              </w:rPr>
            </w:pPr>
            <w:r>
              <w:rPr>
                <w:sz w:val="24"/>
                <w:szCs w:val="24"/>
              </w:rPr>
              <w:t>Germany</w:t>
            </w:r>
          </w:p>
        </w:tc>
        <w:tc>
          <w:tcPr>
            <w:tcW w:w="4343" w:type="dxa"/>
          </w:tcPr>
          <w:p w:rsidR="001A42B2" w:rsidRPr="00E92FAB" w:rsidRDefault="001A42B2" w:rsidP="007070B1">
            <w:pPr>
              <w:rPr>
                <w:sz w:val="24"/>
                <w:szCs w:val="24"/>
              </w:rPr>
            </w:pPr>
            <w:r>
              <w:rPr>
                <w:sz w:val="24"/>
                <w:szCs w:val="24"/>
              </w:rPr>
              <w:t>Monika Labonkova</w:t>
            </w:r>
          </w:p>
        </w:tc>
      </w:tr>
      <w:tr w:rsidR="001A42B2" w:rsidTr="001A42B2">
        <w:tc>
          <w:tcPr>
            <w:tcW w:w="3223" w:type="dxa"/>
          </w:tcPr>
          <w:p w:rsidR="001A42B2" w:rsidRPr="00E92FAB" w:rsidRDefault="001A42B2" w:rsidP="007070B1">
            <w:pPr>
              <w:rPr>
                <w:sz w:val="24"/>
                <w:szCs w:val="24"/>
              </w:rPr>
            </w:pPr>
            <w:r>
              <w:rPr>
                <w:sz w:val="24"/>
                <w:szCs w:val="24"/>
              </w:rPr>
              <w:t>Michael Prantl</w:t>
            </w:r>
          </w:p>
        </w:tc>
        <w:tc>
          <w:tcPr>
            <w:tcW w:w="1450" w:type="dxa"/>
          </w:tcPr>
          <w:p w:rsidR="001A42B2" w:rsidRPr="00E92FAB" w:rsidRDefault="001A42B2" w:rsidP="007070B1">
            <w:pPr>
              <w:rPr>
                <w:sz w:val="24"/>
                <w:szCs w:val="24"/>
              </w:rPr>
            </w:pPr>
            <w:r>
              <w:rPr>
                <w:sz w:val="24"/>
                <w:szCs w:val="24"/>
              </w:rPr>
              <w:t>Italy</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Pasquale Solazzo</w:t>
            </w:r>
          </w:p>
        </w:tc>
        <w:tc>
          <w:tcPr>
            <w:tcW w:w="1450" w:type="dxa"/>
          </w:tcPr>
          <w:p w:rsidR="001A42B2" w:rsidRPr="00E92FAB" w:rsidRDefault="001A42B2" w:rsidP="007070B1">
            <w:pPr>
              <w:rPr>
                <w:sz w:val="24"/>
                <w:szCs w:val="24"/>
              </w:rPr>
            </w:pPr>
            <w:r>
              <w:rPr>
                <w:sz w:val="24"/>
                <w:szCs w:val="24"/>
              </w:rPr>
              <w:t>Italy</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Norbert Pfeifer</w:t>
            </w:r>
          </w:p>
        </w:tc>
        <w:tc>
          <w:tcPr>
            <w:tcW w:w="1450" w:type="dxa"/>
          </w:tcPr>
          <w:p w:rsidR="001A42B2" w:rsidRPr="00E92FAB" w:rsidRDefault="001A42B2" w:rsidP="007070B1">
            <w:pPr>
              <w:rPr>
                <w:sz w:val="24"/>
                <w:szCs w:val="24"/>
              </w:rPr>
            </w:pPr>
            <w:r>
              <w:rPr>
                <w:sz w:val="24"/>
                <w:szCs w:val="24"/>
              </w:rPr>
              <w:t>Italy</w:t>
            </w:r>
          </w:p>
        </w:tc>
        <w:tc>
          <w:tcPr>
            <w:tcW w:w="4343" w:type="dxa"/>
          </w:tcPr>
          <w:p w:rsidR="001A42B2" w:rsidRPr="00E92FAB" w:rsidRDefault="001A42B2" w:rsidP="007070B1">
            <w:pPr>
              <w:rPr>
                <w:sz w:val="24"/>
                <w:szCs w:val="24"/>
              </w:rPr>
            </w:pPr>
          </w:p>
        </w:tc>
      </w:tr>
      <w:tr w:rsidR="00DC081F" w:rsidRPr="00E92FAB" w:rsidTr="001A42B2">
        <w:tc>
          <w:tcPr>
            <w:tcW w:w="3223" w:type="dxa"/>
          </w:tcPr>
          <w:p w:rsidR="00DC081F" w:rsidRPr="00DC081F" w:rsidRDefault="00DC081F" w:rsidP="00DC081F">
            <w:pPr>
              <w:rPr>
                <w:rFonts w:cstheme="minorHAnsi"/>
                <w:sz w:val="24"/>
                <w:szCs w:val="24"/>
              </w:rPr>
            </w:pPr>
            <w:r w:rsidRPr="00DC081F">
              <w:rPr>
                <w:rFonts w:cstheme="minorHAnsi"/>
                <w:color w:val="333333"/>
                <w:sz w:val="24"/>
                <w:szCs w:val="24"/>
              </w:rPr>
              <w:t>Gabriele Magnarelli</w:t>
            </w:r>
          </w:p>
        </w:tc>
        <w:tc>
          <w:tcPr>
            <w:tcW w:w="1450" w:type="dxa"/>
          </w:tcPr>
          <w:p w:rsidR="00DC081F" w:rsidRDefault="00DC081F" w:rsidP="007070B1">
            <w:pPr>
              <w:rPr>
                <w:sz w:val="24"/>
                <w:szCs w:val="24"/>
              </w:rPr>
            </w:pPr>
            <w:r>
              <w:rPr>
                <w:sz w:val="24"/>
                <w:szCs w:val="24"/>
              </w:rPr>
              <w:t>Italy</w:t>
            </w:r>
          </w:p>
        </w:tc>
        <w:tc>
          <w:tcPr>
            <w:tcW w:w="4343" w:type="dxa"/>
          </w:tcPr>
          <w:p w:rsidR="00DC081F" w:rsidRPr="00E92FAB" w:rsidRDefault="00DC081F" w:rsidP="007070B1">
            <w:pPr>
              <w:rPr>
                <w:sz w:val="24"/>
                <w:szCs w:val="24"/>
              </w:rPr>
            </w:pPr>
          </w:p>
        </w:tc>
      </w:tr>
      <w:tr w:rsidR="001A42B2" w:rsidRPr="00E92FAB" w:rsidTr="001A42B2">
        <w:tc>
          <w:tcPr>
            <w:tcW w:w="3223" w:type="dxa"/>
          </w:tcPr>
          <w:p w:rsidR="001A42B2" w:rsidRDefault="001A42B2" w:rsidP="007070B1">
            <w:pPr>
              <w:rPr>
                <w:sz w:val="24"/>
                <w:szCs w:val="24"/>
              </w:rPr>
            </w:pPr>
            <w:r>
              <w:rPr>
                <w:sz w:val="24"/>
                <w:szCs w:val="24"/>
              </w:rPr>
              <w:t>Jesica Bravo</w:t>
            </w:r>
          </w:p>
        </w:tc>
        <w:tc>
          <w:tcPr>
            <w:tcW w:w="1450" w:type="dxa"/>
          </w:tcPr>
          <w:p w:rsidR="001A42B2" w:rsidRPr="00E92FAB" w:rsidRDefault="001A42B2" w:rsidP="007070B1">
            <w:pPr>
              <w:rPr>
                <w:sz w:val="24"/>
                <w:szCs w:val="24"/>
              </w:rPr>
            </w:pPr>
            <w:r>
              <w:rPr>
                <w:sz w:val="24"/>
                <w:szCs w:val="24"/>
              </w:rPr>
              <w:t>Mexico</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Default="001A42B2" w:rsidP="007070B1">
            <w:pPr>
              <w:rPr>
                <w:sz w:val="24"/>
                <w:szCs w:val="24"/>
              </w:rPr>
            </w:pPr>
            <w:r>
              <w:rPr>
                <w:sz w:val="24"/>
                <w:szCs w:val="24"/>
              </w:rPr>
              <w:t>Noe Arellano</w:t>
            </w:r>
          </w:p>
        </w:tc>
        <w:tc>
          <w:tcPr>
            <w:tcW w:w="1450" w:type="dxa"/>
          </w:tcPr>
          <w:p w:rsidR="001A42B2" w:rsidRPr="00E92FAB" w:rsidRDefault="001A42B2" w:rsidP="007070B1">
            <w:pPr>
              <w:rPr>
                <w:sz w:val="24"/>
                <w:szCs w:val="24"/>
              </w:rPr>
            </w:pPr>
            <w:r>
              <w:rPr>
                <w:sz w:val="24"/>
                <w:szCs w:val="24"/>
              </w:rPr>
              <w:t>Mexico</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Default="001A42B2" w:rsidP="007070B1">
            <w:pPr>
              <w:rPr>
                <w:sz w:val="24"/>
                <w:szCs w:val="24"/>
              </w:rPr>
            </w:pPr>
            <w:r>
              <w:rPr>
                <w:sz w:val="24"/>
                <w:szCs w:val="24"/>
              </w:rPr>
              <w:t>Elizebeth Hernandez Delgadilo</w:t>
            </w:r>
          </w:p>
        </w:tc>
        <w:tc>
          <w:tcPr>
            <w:tcW w:w="1450" w:type="dxa"/>
          </w:tcPr>
          <w:p w:rsidR="001A42B2" w:rsidRPr="00E92FAB" w:rsidRDefault="001A42B2" w:rsidP="007070B1">
            <w:pPr>
              <w:rPr>
                <w:sz w:val="24"/>
                <w:szCs w:val="24"/>
              </w:rPr>
            </w:pPr>
            <w:r>
              <w:rPr>
                <w:sz w:val="24"/>
                <w:szCs w:val="24"/>
              </w:rPr>
              <w:t>Mexico</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Piet Machielse</w:t>
            </w:r>
          </w:p>
        </w:tc>
        <w:tc>
          <w:tcPr>
            <w:tcW w:w="1450" w:type="dxa"/>
          </w:tcPr>
          <w:p w:rsidR="001A42B2" w:rsidRPr="00E92FAB" w:rsidRDefault="001A42B2" w:rsidP="007070B1">
            <w:pPr>
              <w:rPr>
                <w:sz w:val="24"/>
                <w:szCs w:val="24"/>
              </w:rPr>
            </w:pPr>
            <w:r>
              <w:rPr>
                <w:sz w:val="24"/>
                <w:szCs w:val="24"/>
              </w:rPr>
              <w:t>Netherlands</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Henriette Moll</w:t>
            </w:r>
          </w:p>
        </w:tc>
        <w:tc>
          <w:tcPr>
            <w:tcW w:w="1450" w:type="dxa"/>
          </w:tcPr>
          <w:p w:rsidR="001A42B2" w:rsidRPr="00E92FAB" w:rsidRDefault="001A42B2" w:rsidP="007070B1">
            <w:pPr>
              <w:rPr>
                <w:sz w:val="24"/>
                <w:szCs w:val="24"/>
              </w:rPr>
            </w:pPr>
            <w:r>
              <w:rPr>
                <w:sz w:val="24"/>
                <w:szCs w:val="24"/>
              </w:rPr>
              <w:t>Netherlands</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Katrien Bijnens</w:t>
            </w:r>
          </w:p>
        </w:tc>
        <w:tc>
          <w:tcPr>
            <w:tcW w:w="1450" w:type="dxa"/>
          </w:tcPr>
          <w:p w:rsidR="001A42B2" w:rsidRPr="00E92FAB" w:rsidRDefault="001A42B2" w:rsidP="007070B1">
            <w:pPr>
              <w:rPr>
                <w:sz w:val="24"/>
                <w:szCs w:val="24"/>
              </w:rPr>
            </w:pPr>
            <w:r>
              <w:rPr>
                <w:sz w:val="24"/>
                <w:szCs w:val="24"/>
              </w:rPr>
              <w:t>Netherlands</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Default="001A42B2" w:rsidP="007070B1">
            <w:pPr>
              <w:rPr>
                <w:sz w:val="24"/>
                <w:szCs w:val="24"/>
              </w:rPr>
            </w:pPr>
            <w:r>
              <w:rPr>
                <w:sz w:val="24"/>
                <w:szCs w:val="24"/>
              </w:rPr>
              <w:t>Endre Sandvik</w:t>
            </w:r>
          </w:p>
        </w:tc>
        <w:tc>
          <w:tcPr>
            <w:tcW w:w="1450" w:type="dxa"/>
          </w:tcPr>
          <w:p w:rsidR="001A42B2" w:rsidRPr="00E92FAB" w:rsidRDefault="001A42B2" w:rsidP="007070B1">
            <w:pPr>
              <w:rPr>
                <w:sz w:val="24"/>
                <w:szCs w:val="24"/>
              </w:rPr>
            </w:pPr>
            <w:r>
              <w:rPr>
                <w:sz w:val="24"/>
                <w:szCs w:val="24"/>
              </w:rPr>
              <w:t>Norway</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Germer Schneider</w:t>
            </w:r>
          </w:p>
        </w:tc>
        <w:tc>
          <w:tcPr>
            <w:tcW w:w="1450" w:type="dxa"/>
          </w:tcPr>
          <w:p w:rsidR="001A42B2" w:rsidRPr="00E92FAB" w:rsidRDefault="001A42B2" w:rsidP="007070B1">
            <w:pPr>
              <w:rPr>
                <w:sz w:val="24"/>
                <w:szCs w:val="24"/>
              </w:rPr>
            </w:pPr>
            <w:r>
              <w:rPr>
                <w:sz w:val="24"/>
                <w:szCs w:val="24"/>
              </w:rPr>
              <w:t>Norway</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Stine Engebretsen</w:t>
            </w:r>
          </w:p>
        </w:tc>
        <w:tc>
          <w:tcPr>
            <w:tcW w:w="1450" w:type="dxa"/>
          </w:tcPr>
          <w:p w:rsidR="001A42B2" w:rsidRPr="00E92FAB" w:rsidRDefault="001A42B2" w:rsidP="007070B1">
            <w:pPr>
              <w:rPr>
                <w:sz w:val="24"/>
                <w:szCs w:val="24"/>
              </w:rPr>
            </w:pPr>
            <w:r>
              <w:rPr>
                <w:sz w:val="24"/>
                <w:szCs w:val="24"/>
              </w:rPr>
              <w:t>Norway</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Antonio Marques</w:t>
            </w:r>
          </w:p>
        </w:tc>
        <w:tc>
          <w:tcPr>
            <w:tcW w:w="1450" w:type="dxa"/>
          </w:tcPr>
          <w:p w:rsidR="001A42B2" w:rsidRPr="00E92FAB" w:rsidRDefault="001A42B2" w:rsidP="007070B1">
            <w:pPr>
              <w:rPr>
                <w:sz w:val="24"/>
                <w:szCs w:val="24"/>
              </w:rPr>
            </w:pPr>
            <w:r>
              <w:rPr>
                <w:sz w:val="24"/>
                <w:szCs w:val="24"/>
              </w:rPr>
              <w:t>Portugal</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Angela Valenca</w:t>
            </w:r>
          </w:p>
        </w:tc>
        <w:tc>
          <w:tcPr>
            <w:tcW w:w="1450" w:type="dxa"/>
          </w:tcPr>
          <w:p w:rsidR="001A42B2" w:rsidRPr="00E92FAB" w:rsidRDefault="001A42B2" w:rsidP="007070B1">
            <w:pPr>
              <w:rPr>
                <w:sz w:val="24"/>
                <w:szCs w:val="24"/>
              </w:rPr>
            </w:pPr>
            <w:r>
              <w:rPr>
                <w:sz w:val="24"/>
                <w:szCs w:val="24"/>
              </w:rPr>
              <w:t>Portugal</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Paulo Freitas</w:t>
            </w:r>
          </w:p>
        </w:tc>
        <w:tc>
          <w:tcPr>
            <w:tcW w:w="1450" w:type="dxa"/>
          </w:tcPr>
          <w:p w:rsidR="001A42B2" w:rsidRPr="00E92FAB" w:rsidRDefault="001A42B2" w:rsidP="007070B1">
            <w:pPr>
              <w:rPr>
                <w:sz w:val="24"/>
                <w:szCs w:val="24"/>
              </w:rPr>
            </w:pPr>
            <w:r>
              <w:rPr>
                <w:sz w:val="24"/>
                <w:szCs w:val="24"/>
              </w:rPr>
              <w:t>Portugal</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Kevin Mackway Jones</w:t>
            </w:r>
          </w:p>
        </w:tc>
        <w:tc>
          <w:tcPr>
            <w:tcW w:w="1450" w:type="dxa"/>
          </w:tcPr>
          <w:p w:rsidR="001A42B2" w:rsidRPr="00E92FAB" w:rsidRDefault="001A42B2" w:rsidP="007070B1">
            <w:pPr>
              <w:rPr>
                <w:sz w:val="24"/>
                <w:szCs w:val="24"/>
              </w:rPr>
            </w:pPr>
            <w:r>
              <w:rPr>
                <w:sz w:val="24"/>
                <w:szCs w:val="24"/>
              </w:rPr>
              <w:t>UK</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Jill Windle</w:t>
            </w:r>
          </w:p>
        </w:tc>
        <w:tc>
          <w:tcPr>
            <w:tcW w:w="1450" w:type="dxa"/>
          </w:tcPr>
          <w:p w:rsidR="001A42B2" w:rsidRPr="00E92FAB" w:rsidRDefault="001A42B2" w:rsidP="007070B1">
            <w:pPr>
              <w:rPr>
                <w:sz w:val="24"/>
                <w:szCs w:val="24"/>
              </w:rPr>
            </w:pPr>
            <w:r>
              <w:rPr>
                <w:sz w:val="24"/>
                <w:szCs w:val="24"/>
              </w:rPr>
              <w:t>UK</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Janet Marsden</w:t>
            </w:r>
          </w:p>
        </w:tc>
        <w:tc>
          <w:tcPr>
            <w:tcW w:w="1450" w:type="dxa"/>
          </w:tcPr>
          <w:p w:rsidR="001A42B2" w:rsidRPr="00E92FAB" w:rsidRDefault="001A42B2" w:rsidP="007070B1">
            <w:pPr>
              <w:rPr>
                <w:sz w:val="24"/>
                <w:szCs w:val="24"/>
              </w:rPr>
            </w:pPr>
            <w:r>
              <w:rPr>
                <w:sz w:val="24"/>
                <w:szCs w:val="24"/>
              </w:rPr>
              <w:t>UK</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Sue Wieteska</w:t>
            </w:r>
          </w:p>
        </w:tc>
        <w:tc>
          <w:tcPr>
            <w:tcW w:w="1450" w:type="dxa"/>
          </w:tcPr>
          <w:p w:rsidR="001A42B2" w:rsidRPr="00E92FAB" w:rsidRDefault="001A42B2" w:rsidP="007070B1">
            <w:pPr>
              <w:rPr>
                <w:sz w:val="24"/>
                <w:szCs w:val="24"/>
              </w:rPr>
            </w:pPr>
            <w:r>
              <w:rPr>
                <w:sz w:val="24"/>
                <w:szCs w:val="24"/>
              </w:rPr>
              <w:t>UK</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E92FAB" w:rsidRDefault="001A42B2" w:rsidP="007070B1">
            <w:pPr>
              <w:rPr>
                <w:sz w:val="24"/>
                <w:szCs w:val="24"/>
              </w:rPr>
            </w:pPr>
            <w:r>
              <w:rPr>
                <w:sz w:val="24"/>
                <w:szCs w:val="24"/>
              </w:rPr>
              <w:t>Stephanie Allmark</w:t>
            </w:r>
          </w:p>
        </w:tc>
        <w:tc>
          <w:tcPr>
            <w:tcW w:w="1450" w:type="dxa"/>
          </w:tcPr>
          <w:p w:rsidR="001A42B2" w:rsidRPr="00E92FAB" w:rsidRDefault="001A42B2" w:rsidP="007070B1">
            <w:pPr>
              <w:rPr>
                <w:sz w:val="24"/>
                <w:szCs w:val="24"/>
              </w:rPr>
            </w:pPr>
            <w:r>
              <w:rPr>
                <w:sz w:val="24"/>
                <w:szCs w:val="24"/>
              </w:rPr>
              <w:t>UK</w:t>
            </w:r>
          </w:p>
        </w:tc>
        <w:tc>
          <w:tcPr>
            <w:tcW w:w="4343" w:type="dxa"/>
          </w:tcPr>
          <w:p w:rsidR="001A42B2" w:rsidRPr="00E92FAB" w:rsidRDefault="001A42B2" w:rsidP="007070B1">
            <w:pPr>
              <w:rPr>
                <w:sz w:val="24"/>
                <w:szCs w:val="24"/>
              </w:rPr>
            </w:pPr>
          </w:p>
        </w:tc>
      </w:tr>
      <w:tr w:rsidR="001A42B2" w:rsidRPr="00E92FAB" w:rsidTr="001A42B2">
        <w:tc>
          <w:tcPr>
            <w:tcW w:w="3223" w:type="dxa"/>
          </w:tcPr>
          <w:p w:rsidR="001A42B2" w:rsidRPr="005B7E33" w:rsidRDefault="001A42B2" w:rsidP="005B7E33">
            <w:pPr>
              <w:rPr>
                <w:b/>
                <w:sz w:val="24"/>
                <w:szCs w:val="24"/>
              </w:rPr>
            </w:pPr>
            <w:r w:rsidRPr="005B7E33">
              <w:rPr>
                <w:b/>
                <w:sz w:val="24"/>
                <w:szCs w:val="24"/>
              </w:rPr>
              <w:t>Observers</w:t>
            </w:r>
          </w:p>
        </w:tc>
        <w:tc>
          <w:tcPr>
            <w:tcW w:w="1450" w:type="dxa"/>
          </w:tcPr>
          <w:p w:rsidR="001A42B2" w:rsidRPr="00E92FAB" w:rsidRDefault="001A42B2" w:rsidP="005B7E33">
            <w:pPr>
              <w:rPr>
                <w:sz w:val="24"/>
                <w:szCs w:val="24"/>
              </w:rPr>
            </w:pPr>
          </w:p>
        </w:tc>
        <w:tc>
          <w:tcPr>
            <w:tcW w:w="4343" w:type="dxa"/>
          </w:tcPr>
          <w:p w:rsidR="001A42B2" w:rsidRPr="00E92FAB" w:rsidRDefault="001A42B2" w:rsidP="005B7E33">
            <w:pPr>
              <w:rPr>
                <w:sz w:val="24"/>
                <w:szCs w:val="24"/>
              </w:rPr>
            </w:pPr>
          </w:p>
        </w:tc>
      </w:tr>
      <w:tr w:rsidR="001A42B2" w:rsidRPr="00E92FAB" w:rsidTr="001A42B2">
        <w:tc>
          <w:tcPr>
            <w:tcW w:w="3223" w:type="dxa"/>
          </w:tcPr>
          <w:p w:rsidR="001A42B2" w:rsidRPr="00E92FAB" w:rsidRDefault="001A42B2" w:rsidP="005B7E33">
            <w:pPr>
              <w:rPr>
                <w:sz w:val="24"/>
                <w:szCs w:val="24"/>
              </w:rPr>
            </w:pPr>
            <w:r>
              <w:rPr>
                <w:sz w:val="24"/>
                <w:szCs w:val="24"/>
              </w:rPr>
              <w:t>Mark Newton</w:t>
            </w:r>
          </w:p>
        </w:tc>
        <w:tc>
          <w:tcPr>
            <w:tcW w:w="1450" w:type="dxa"/>
          </w:tcPr>
          <w:p w:rsidR="001A42B2" w:rsidRPr="00E92FAB" w:rsidRDefault="001A42B2" w:rsidP="005B7E33">
            <w:pPr>
              <w:rPr>
                <w:sz w:val="24"/>
                <w:szCs w:val="24"/>
              </w:rPr>
            </w:pPr>
            <w:r>
              <w:rPr>
                <w:sz w:val="24"/>
                <w:szCs w:val="24"/>
              </w:rPr>
              <w:t>Uk</w:t>
            </w:r>
          </w:p>
        </w:tc>
        <w:tc>
          <w:tcPr>
            <w:tcW w:w="4343" w:type="dxa"/>
          </w:tcPr>
          <w:p w:rsidR="001A42B2" w:rsidRPr="00E92FAB" w:rsidRDefault="001A42B2" w:rsidP="005B7E33">
            <w:pPr>
              <w:rPr>
                <w:sz w:val="24"/>
                <w:szCs w:val="24"/>
              </w:rPr>
            </w:pPr>
          </w:p>
        </w:tc>
      </w:tr>
      <w:tr w:rsidR="001A42B2" w:rsidRPr="00E92FAB" w:rsidTr="001A42B2">
        <w:tc>
          <w:tcPr>
            <w:tcW w:w="3223" w:type="dxa"/>
          </w:tcPr>
          <w:p w:rsidR="001A42B2" w:rsidRPr="00E92FAB" w:rsidRDefault="001A42B2" w:rsidP="005B7E33">
            <w:pPr>
              <w:rPr>
                <w:sz w:val="24"/>
                <w:szCs w:val="24"/>
              </w:rPr>
            </w:pPr>
            <w:r>
              <w:rPr>
                <w:sz w:val="24"/>
                <w:szCs w:val="24"/>
              </w:rPr>
              <w:t>Sue Mattingley</w:t>
            </w:r>
          </w:p>
        </w:tc>
        <w:tc>
          <w:tcPr>
            <w:tcW w:w="1450" w:type="dxa"/>
          </w:tcPr>
          <w:p w:rsidR="001A42B2" w:rsidRPr="00E92FAB" w:rsidRDefault="001A42B2" w:rsidP="005B7E33">
            <w:pPr>
              <w:rPr>
                <w:sz w:val="24"/>
                <w:szCs w:val="24"/>
              </w:rPr>
            </w:pPr>
            <w:r>
              <w:rPr>
                <w:sz w:val="24"/>
                <w:szCs w:val="24"/>
              </w:rPr>
              <w:t>UK</w:t>
            </w:r>
          </w:p>
        </w:tc>
        <w:tc>
          <w:tcPr>
            <w:tcW w:w="4343" w:type="dxa"/>
          </w:tcPr>
          <w:p w:rsidR="001A42B2" w:rsidRPr="00E92FAB" w:rsidRDefault="001A42B2" w:rsidP="005B7E33">
            <w:pPr>
              <w:rPr>
                <w:sz w:val="24"/>
                <w:szCs w:val="24"/>
              </w:rPr>
            </w:pPr>
          </w:p>
        </w:tc>
      </w:tr>
      <w:tr w:rsidR="001A42B2" w:rsidRPr="00E92FAB" w:rsidTr="001A42B2">
        <w:tc>
          <w:tcPr>
            <w:tcW w:w="3223" w:type="dxa"/>
          </w:tcPr>
          <w:p w:rsidR="001A42B2" w:rsidRPr="00E92FAB" w:rsidRDefault="001A42B2" w:rsidP="005B7E33">
            <w:pPr>
              <w:rPr>
                <w:sz w:val="24"/>
                <w:szCs w:val="24"/>
              </w:rPr>
            </w:pPr>
            <w:r>
              <w:rPr>
                <w:sz w:val="24"/>
                <w:szCs w:val="24"/>
              </w:rPr>
              <w:t>Gabrielle Magnarellie</w:t>
            </w:r>
          </w:p>
        </w:tc>
        <w:tc>
          <w:tcPr>
            <w:tcW w:w="1450" w:type="dxa"/>
          </w:tcPr>
          <w:p w:rsidR="001A42B2" w:rsidRPr="00E92FAB" w:rsidRDefault="001A42B2" w:rsidP="005B7E33">
            <w:pPr>
              <w:rPr>
                <w:sz w:val="24"/>
                <w:szCs w:val="24"/>
              </w:rPr>
            </w:pPr>
            <w:r>
              <w:rPr>
                <w:sz w:val="24"/>
                <w:szCs w:val="24"/>
              </w:rPr>
              <w:t>Italy</w:t>
            </w:r>
          </w:p>
        </w:tc>
        <w:tc>
          <w:tcPr>
            <w:tcW w:w="4343" w:type="dxa"/>
          </w:tcPr>
          <w:p w:rsidR="001A42B2" w:rsidRPr="00E92FAB" w:rsidRDefault="001A42B2" w:rsidP="005B7E33">
            <w:pPr>
              <w:rPr>
                <w:sz w:val="24"/>
                <w:szCs w:val="24"/>
              </w:rPr>
            </w:pPr>
          </w:p>
        </w:tc>
      </w:tr>
      <w:tr w:rsidR="001A42B2" w:rsidRPr="00E92FAB" w:rsidTr="001A42B2">
        <w:tc>
          <w:tcPr>
            <w:tcW w:w="3223" w:type="dxa"/>
          </w:tcPr>
          <w:p w:rsidR="001A42B2" w:rsidRPr="00E92FAB" w:rsidRDefault="001A42B2" w:rsidP="005B7E33">
            <w:pPr>
              <w:rPr>
                <w:sz w:val="24"/>
                <w:szCs w:val="24"/>
              </w:rPr>
            </w:pPr>
            <w:r>
              <w:rPr>
                <w:sz w:val="24"/>
                <w:szCs w:val="24"/>
              </w:rPr>
              <w:t>Andreas Mehr</w:t>
            </w:r>
          </w:p>
        </w:tc>
        <w:tc>
          <w:tcPr>
            <w:tcW w:w="1450" w:type="dxa"/>
          </w:tcPr>
          <w:p w:rsidR="001A42B2" w:rsidRPr="00E92FAB" w:rsidRDefault="001A42B2" w:rsidP="005B7E33">
            <w:pPr>
              <w:rPr>
                <w:sz w:val="24"/>
                <w:szCs w:val="24"/>
              </w:rPr>
            </w:pPr>
            <w:r>
              <w:rPr>
                <w:sz w:val="24"/>
                <w:szCs w:val="24"/>
              </w:rPr>
              <w:t>Switzerland</w:t>
            </w:r>
          </w:p>
        </w:tc>
        <w:tc>
          <w:tcPr>
            <w:tcW w:w="4343" w:type="dxa"/>
          </w:tcPr>
          <w:p w:rsidR="001A42B2" w:rsidRPr="00E92FAB" w:rsidRDefault="001A42B2" w:rsidP="005B7E33">
            <w:pPr>
              <w:rPr>
                <w:sz w:val="24"/>
                <w:szCs w:val="24"/>
              </w:rPr>
            </w:pPr>
          </w:p>
        </w:tc>
      </w:tr>
      <w:tr w:rsidR="001A42B2" w:rsidRPr="00E92FAB" w:rsidTr="001A42B2">
        <w:tc>
          <w:tcPr>
            <w:tcW w:w="3223" w:type="dxa"/>
          </w:tcPr>
          <w:p w:rsidR="001A42B2" w:rsidRPr="00E92FAB" w:rsidRDefault="001A42B2" w:rsidP="005B7E33">
            <w:pPr>
              <w:rPr>
                <w:sz w:val="24"/>
                <w:szCs w:val="24"/>
              </w:rPr>
            </w:pPr>
            <w:r>
              <w:rPr>
                <w:sz w:val="24"/>
                <w:szCs w:val="24"/>
              </w:rPr>
              <w:t>Claudio Alves</w:t>
            </w:r>
          </w:p>
        </w:tc>
        <w:tc>
          <w:tcPr>
            <w:tcW w:w="1450" w:type="dxa"/>
          </w:tcPr>
          <w:p w:rsidR="001A42B2" w:rsidRPr="00E92FAB" w:rsidRDefault="001A42B2" w:rsidP="005B7E33">
            <w:pPr>
              <w:rPr>
                <w:sz w:val="24"/>
                <w:szCs w:val="24"/>
              </w:rPr>
            </w:pPr>
            <w:r>
              <w:rPr>
                <w:sz w:val="24"/>
                <w:szCs w:val="24"/>
              </w:rPr>
              <w:t>Portugal</w:t>
            </w:r>
          </w:p>
        </w:tc>
        <w:tc>
          <w:tcPr>
            <w:tcW w:w="4343" w:type="dxa"/>
          </w:tcPr>
          <w:p w:rsidR="001A42B2" w:rsidRPr="00E92FAB" w:rsidRDefault="001A42B2" w:rsidP="005B7E33">
            <w:pPr>
              <w:rPr>
                <w:sz w:val="24"/>
                <w:szCs w:val="24"/>
              </w:rPr>
            </w:pPr>
          </w:p>
        </w:tc>
      </w:tr>
      <w:tr w:rsidR="001A42B2" w:rsidRPr="00E92FAB" w:rsidTr="001A42B2">
        <w:tc>
          <w:tcPr>
            <w:tcW w:w="3223" w:type="dxa"/>
          </w:tcPr>
          <w:p w:rsidR="001A42B2" w:rsidRPr="00E92FAB" w:rsidRDefault="001A42B2" w:rsidP="005B7E33">
            <w:pPr>
              <w:rPr>
                <w:sz w:val="24"/>
                <w:szCs w:val="24"/>
              </w:rPr>
            </w:pPr>
            <w:r>
              <w:rPr>
                <w:sz w:val="24"/>
                <w:szCs w:val="24"/>
              </w:rPr>
              <w:t>Diogo Bruno</w:t>
            </w:r>
          </w:p>
        </w:tc>
        <w:tc>
          <w:tcPr>
            <w:tcW w:w="1450" w:type="dxa"/>
          </w:tcPr>
          <w:p w:rsidR="001A42B2" w:rsidRPr="00E92FAB" w:rsidRDefault="001A42B2" w:rsidP="005B7E33">
            <w:pPr>
              <w:rPr>
                <w:sz w:val="24"/>
                <w:szCs w:val="24"/>
              </w:rPr>
            </w:pPr>
            <w:r>
              <w:rPr>
                <w:sz w:val="24"/>
                <w:szCs w:val="24"/>
              </w:rPr>
              <w:t>Portugal</w:t>
            </w:r>
          </w:p>
        </w:tc>
        <w:tc>
          <w:tcPr>
            <w:tcW w:w="4343" w:type="dxa"/>
          </w:tcPr>
          <w:p w:rsidR="001A42B2" w:rsidRPr="00E92FAB" w:rsidRDefault="001A42B2" w:rsidP="005B7E33">
            <w:pPr>
              <w:rPr>
                <w:sz w:val="24"/>
                <w:szCs w:val="24"/>
              </w:rPr>
            </w:pPr>
          </w:p>
        </w:tc>
      </w:tr>
    </w:tbl>
    <w:p w:rsidR="003747B6" w:rsidRDefault="003747B6" w:rsidP="00B11855">
      <w:pPr>
        <w:jc w:val="both"/>
        <w:rPr>
          <w:b/>
        </w:rPr>
      </w:pPr>
    </w:p>
    <w:p w:rsidR="003747B6" w:rsidRDefault="003747B6" w:rsidP="003747B6">
      <w:pPr>
        <w:pStyle w:val="Listeavsnitt"/>
        <w:numPr>
          <w:ilvl w:val="0"/>
          <w:numId w:val="1"/>
        </w:numPr>
        <w:ind w:left="567" w:hanging="567"/>
        <w:jc w:val="both"/>
      </w:pPr>
      <w:r>
        <w:t>Introductions and housekeeping by UK (KMJ and SW)</w:t>
      </w:r>
    </w:p>
    <w:p w:rsidR="003747B6" w:rsidRPr="003747B6" w:rsidRDefault="003747B6" w:rsidP="003747B6">
      <w:pPr>
        <w:pStyle w:val="Listeavsnitt"/>
        <w:ind w:left="567"/>
        <w:jc w:val="both"/>
      </w:pPr>
    </w:p>
    <w:p w:rsidR="00861714" w:rsidRPr="00861714" w:rsidRDefault="00ED19AE" w:rsidP="00B11855">
      <w:pPr>
        <w:pStyle w:val="Listeavsnitt"/>
        <w:numPr>
          <w:ilvl w:val="0"/>
          <w:numId w:val="1"/>
        </w:numPr>
        <w:ind w:left="567" w:hanging="567"/>
        <w:jc w:val="both"/>
      </w:pPr>
      <w:r w:rsidRPr="00861714">
        <w:rPr>
          <w:b/>
        </w:rPr>
        <w:t>Review of Minutes IRG 2016</w:t>
      </w:r>
    </w:p>
    <w:p w:rsidR="00861714" w:rsidRDefault="00861714" w:rsidP="00861714">
      <w:pPr>
        <w:pStyle w:val="Listeavsnitt"/>
        <w:ind w:left="567"/>
        <w:jc w:val="both"/>
      </w:pPr>
    </w:p>
    <w:p w:rsidR="00B11855" w:rsidRDefault="002B5C92" w:rsidP="00861714">
      <w:pPr>
        <w:pStyle w:val="Listeavsnitt"/>
        <w:numPr>
          <w:ilvl w:val="1"/>
          <w:numId w:val="1"/>
        </w:numPr>
        <w:ind w:left="567" w:hanging="567"/>
        <w:jc w:val="both"/>
      </w:pPr>
      <w:r>
        <w:t>Agenda item 3.6 (2016) – Invitation to develop a ‘Dizziness’ Task and Finish group to be re-sent to IRG members and vignettes to evaluate a ‘Dizziness’ MTS chart to be developed by Germany (JK) carried over to next year. This item will be removed if no interest shown.</w:t>
      </w:r>
    </w:p>
    <w:p w:rsidR="00D53F81" w:rsidRDefault="00D53F81" w:rsidP="00D53F81">
      <w:pPr>
        <w:pStyle w:val="Listeavsnitt"/>
        <w:ind w:left="567"/>
        <w:jc w:val="both"/>
      </w:pPr>
    </w:p>
    <w:p w:rsidR="002B5C92" w:rsidRDefault="00D53F81" w:rsidP="00861714">
      <w:pPr>
        <w:pStyle w:val="Listeavsnitt"/>
        <w:numPr>
          <w:ilvl w:val="1"/>
          <w:numId w:val="1"/>
        </w:numPr>
        <w:ind w:left="567" w:hanging="567"/>
        <w:jc w:val="both"/>
      </w:pPr>
      <w:r>
        <w:t xml:space="preserve">Agenda item 6.1 (2016) – Agreement now in place with Wiley that any critical updates will be completed within 28 days as this is part of the IT companies contract. UK (SM) will send an explanation of the wording and is happy to answer any questions </w:t>
      </w:r>
      <w:r w:rsidR="001A42B2">
        <w:t>separately</w:t>
      </w:r>
      <w:r>
        <w:t>. IRG will be contacted in the event of any critical updates and important that changes are translated as soon as possible.</w:t>
      </w:r>
    </w:p>
    <w:p w:rsidR="00D53F81" w:rsidRDefault="00D53F81" w:rsidP="00D53F81">
      <w:pPr>
        <w:pStyle w:val="Listeavsnitt"/>
      </w:pPr>
    </w:p>
    <w:p w:rsidR="00D53F81" w:rsidRDefault="00D53F81" w:rsidP="00861714">
      <w:pPr>
        <w:pStyle w:val="Listeavsnitt"/>
        <w:numPr>
          <w:ilvl w:val="1"/>
          <w:numId w:val="1"/>
        </w:numPr>
        <w:ind w:left="567" w:hanging="567"/>
        <w:jc w:val="both"/>
      </w:pPr>
      <w:r>
        <w:t>All other changes/updates will be added to the website yearly to coincide with the MTS /IRG conference.</w:t>
      </w:r>
    </w:p>
    <w:p w:rsidR="00D53F81" w:rsidRDefault="00D53F81" w:rsidP="00D53F81">
      <w:pPr>
        <w:pStyle w:val="Listeavsnitt"/>
      </w:pPr>
    </w:p>
    <w:p w:rsidR="00D53F81" w:rsidRDefault="00D53F81" w:rsidP="00861714">
      <w:pPr>
        <w:pStyle w:val="Listeavsnitt"/>
        <w:numPr>
          <w:ilvl w:val="1"/>
          <w:numId w:val="1"/>
        </w:numPr>
        <w:ind w:left="567" w:hanging="567"/>
        <w:jc w:val="both"/>
      </w:pPr>
      <w:r>
        <w:t xml:space="preserve">Agenda item 7.4 (2016) – OBGYN Task and Finish Group to develop specialist MTS chart for maternity/OBGYN carried over until 2018 IRG. </w:t>
      </w:r>
    </w:p>
    <w:p w:rsidR="00B11855" w:rsidRDefault="00B11855" w:rsidP="00B11855">
      <w:pPr>
        <w:pStyle w:val="Listeavsnitt"/>
        <w:ind w:left="567"/>
        <w:jc w:val="both"/>
      </w:pPr>
    </w:p>
    <w:p w:rsidR="00B11855" w:rsidRPr="00861714" w:rsidRDefault="00ED19AE" w:rsidP="00B11855">
      <w:pPr>
        <w:pStyle w:val="Listeavsnitt"/>
        <w:numPr>
          <w:ilvl w:val="0"/>
          <w:numId w:val="1"/>
        </w:numPr>
        <w:ind w:left="567" w:hanging="567"/>
        <w:jc w:val="both"/>
        <w:rPr>
          <w:b/>
        </w:rPr>
      </w:pPr>
      <w:r w:rsidRPr="00861714">
        <w:rPr>
          <w:b/>
        </w:rPr>
        <w:t>Governance structure for succession planning</w:t>
      </w:r>
      <w:r w:rsidR="00B11855" w:rsidRPr="00861714">
        <w:rPr>
          <w:b/>
        </w:rPr>
        <w:t xml:space="preserve"> and MOU</w:t>
      </w:r>
    </w:p>
    <w:p w:rsidR="00B11855" w:rsidRDefault="00B11855" w:rsidP="00B11855">
      <w:pPr>
        <w:pStyle w:val="Listeavsnitt"/>
      </w:pPr>
    </w:p>
    <w:p w:rsidR="00B460BF" w:rsidRDefault="00ED19AE" w:rsidP="00ED19AE">
      <w:pPr>
        <w:pStyle w:val="Listeavsnitt"/>
        <w:numPr>
          <w:ilvl w:val="1"/>
          <w:numId w:val="1"/>
        </w:numPr>
        <w:ind w:left="567" w:hanging="567"/>
        <w:jc w:val="both"/>
      </w:pPr>
      <w:r>
        <w:t>Memorandum of Understanding – all agreements now consolidated into one electronic MOU. Inclusion of an electronic signature gives access to all on-line resources and creates a PDF copy of the MOU. Any additional MTS tools requested can be added to the MOU if required.</w:t>
      </w:r>
    </w:p>
    <w:p w:rsidR="00ED19AE" w:rsidRDefault="00AA37F3" w:rsidP="00B11855">
      <w:pPr>
        <w:pStyle w:val="Listeavsnitt"/>
        <w:numPr>
          <w:ilvl w:val="2"/>
          <w:numId w:val="1"/>
        </w:numPr>
        <w:ind w:left="1276" w:hanging="992"/>
        <w:jc w:val="both"/>
      </w:pPr>
      <w:r>
        <w:t>Netherlands (</w:t>
      </w:r>
      <w:r w:rsidR="00ED19AE">
        <w:t>HM</w:t>
      </w:r>
      <w:r>
        <w:t>)</w:t>
      </w:r>
      <w:r w:rsidR="00ED19AE">
        <w:t>: Netherlands signed a separate agreement – SW/KMJ will ask Netherlands legal department to review the MOU as they would like everyone to follow the same process but will review individually if required.</w:t>
      </w:r>
    </w:p>
    <w:p w:rsidR="00ED19AE" w:rsidRDefault="00AA37F3" w:rsidP="00B11855">
      <w:pPr>
        <w:pStyle w:val="Listeavsnitt"/>
        <w:numPr>
          <w:ilvl w:val="2"/>
          <w:numId w:val="1"/>
        </w:numPr>
        <w:ind w:left="1276" w:hanging="992"/>
        <w:jc w:val="both"/>
      </w:pPr>
      <w:r>
        <w:t>Germany (</w:t>
      </w:r>
      <w:r w:rsidR="00ED19AE">
        <w:t>JK</w:t>
      </w:r>
      <w:r>
        <w:t>)</w:t>
      </w:r>
      <w:r w:rsidR="00ED19AE">
        <w:t>: Concerns that unable to sign electronic MOU as legal team would need to review first. Advised by SW/KMJ</w:t>
      </w:r>
      <w:r w:rsidR="00B11855">
        <w:t xml:space="preserve"> that MOU is not a contract legally binding, but a ‘gentleman’s agreement’, however all IRGs should send feedback as needed.</w:t>
      </w:r>
    </w:p>
    <w:p w:rsidR="00B11855" w:rsidRDefault="00B11855" w:rsidP="00B11855">
      <w:pPr>
        <w:pStyle w:val="Listeavsnitt"/>
        <w:ind w:left="1276"/>
        <w:jc w:val="both"/>
      </w:pPr>
    </w:p>
    <w:p w:rsidR="00B11855" w:rsidRDefault="00B11855" w:rsidP="00B11855">
      <w:pPr>
        <w:pStyle w:val="Listeavsnitt"/>
        <w:numPr>
          <w:ilvl w:val="1"/>
          <w:numId w:val="1"/>
        </w:numPr>
        <w:ind w:left="567" w:hanging="567"/>
        <w:jc w:val="both"/>
      </w:pPr>
      <w:r>
        <w:t>New proposed governance structure discussed including succession planning and how any new MTS tools impacts changes across the whole MTS platforms.</w:t>
      </w:r>
    </w:p>
    <w:p w:rsidR="00B11855" w:rsidRDefault="00B11855" w:rsidP="00B11855">
      <w:pPr>
        <w:pStyle w:val="Listeavsnitt"/>
        <w:ind w:left="567"/>
        <w:jc w:val="both"/>
      </w:pPr>
    </w:p>
    <w:p w:rsidR="00B11855" w:rsidRDefault="00B11855" w:rsidP="00B11855">
      <w:pPr>
        <w:pStyle w:val="Listeavsnitt"/>
        <w:numPr>
          <w:ilvl w:val="1"/>
          <w:numId w:val="1"/>
        </w:numPr>
        <w:ind w:left="567" w:hanging="567"/>
        <w:jc w:val="both"/>
      </w:pPr>
      <w:r>
        <w:t>Advisory groups are being developed for each MTS tool which will report to an over-arching panel made up of 50% UK members and 50% IRG members.</w:t>
      </w:r>
    </w:p>
    <w:p w:rsidR="00B11855" w:rsidRDefault="00B11855" w:rsidP="00B11855">
      <w:pPr>
        <w:pStyle w:val="Listeavsnitt"/>
      </w:pPr>
    </w:p>
    <w:p w:rsidR="00B11855" w:rsidRDefault="00B11855" w:rsidP="00B11855">
      <w:pPr>
        <w:pStyle w:val="Listeavsnitt"/>
        <w:numPr>
          <w:ilvl w:val="1"/>
          <w:numId w:val="1"/>
        </w:numPr>
        <w:ind w:left="567" w:hanging="567"/>
        <w:jc w:val="both"/>
      </w:pPr>
      <w:r>
        <w:t xml:space="preserve">50% of advisory groups may also consist of members from outside of the UK. These will be selected from nominations made from the IRGs (10-12 members per group), then a vote will determine the advisory group members. </w:t>
      </w:r>
    </w:p>
    <w:p w:rsidR="00B11855" w:rsidRDefault="00B11855" w:rsidP="00B11855">
      <w:pPr>
        <w:pStyle w:val="Listeavsnitt"/>
      </w:pPr>
    </w:p>
    <w:p w:rsidR="00B11855" w:rsidRDefault="00B11855" w:rsidP="00B11855">
      <w:pPr>
        <w:pStyle w:val="Listeavsnitt"/>
        <w:numPr>
          <w:ilvl w:val="1"/>
          <w:numId w:val="1"/>
        </w:numPr>
        <w:ind w:left="567" w:hanging="567"/>
        <w:jc w:val="both"/>
      </w:pPr>
      <w:r>
        <w:t>All final decisions will still be made by the Manchester Triage Group.</w:t>
      </w:r>
    </w:p>
    <w:p w:rsidR="00B11855" w:rsidRDefault="00B11855" w:rsidP="00B11855">
      <w:pPr>
        <w:pStyle w:val="Listeavsnitt"/>
      </w:pPr>
    </w:p>
    <w:p w:rsidR="00B11855" w:rsidRPr="00861714" w:rsidRDefault="00B11855" w:rsidP="00861714">
      <w:pPr>
        <w:pStyle w:val="Listeavsnitt"/>
        <w:numPr>
          <w:ilvl w:val="0"/>
          <w:numId w:val="1"/>
        </w:numPr>
        <w:ind w:left="567" w:hanging="567"/>
        <w:jc w:val="both"/>
        <w:rPr>
          <w:b/>
        </w:rPr>
      </w:pPr>
      <w:r w:rsidRPr="00861714">
        <w:rPr>
          <w:b/>
        </w:rPr>
        <w:lastRenderedPageBreak/>
        <w:t>On-line resources</w:t>
      </w:r>
    </w:p>
    <w:p w:rsidR="00B11855" w:rsidRDefault="00B11855" w:rsidP="00B11855">
      <w:pPr>
        <w:pStyle w:val="Listeavsnitt"/>
        <w:ind w:left="360"/>
        <w:jc w:val="both"/>
      </w:pPr>
    </w:p>
    <w:p w:rsidR="00B11855" w:rsidRDefault="00861714" w:rsidP="00B11855">
      <w:pPr>
        <w:pStyle w:val="Listeavsnitt"/>
        <w:numPr>
          <w:ilvl w:val="1"/>
          <w:numId w:val="1"/>
        </w:numPr>
        <w:ind w:left="567" w:hanging="567"/>
        <w:jc w:val="both"/>
      </w:pPr>
      <w:r>
        <w:t xml:space="preserve">Discussed the Manchester Triage website </w:t>
      </w:r>
      <w:hyperlink r:id="rId9" w:history="1">
        <w:r w:rsidRPr="00990B35">
          <w:rPr>
            <w:rStyle w:val="Hyperkobling"/>
          </w:rPr>
          <w:t>www.triagenet.net</w:t>
        </w:r>
      </w:hyperlink>
      <w:r>
        <w:t xml:space="preserve"> and the resources currently available, including the training and sign off procedure for MTS centres.</w:t>
      </w:r>
    </w:p>
    <w:p w:rsidR="00861714" w:rsidRDefault="00861714" w:rsidP="00861714">
      <w:pPr>
        <w:pStyle w:val="Listeavsnitt"/>
        <w:ind w:left="567"/>
        <w:jc w:val="both"/>
      </w:pPr>
    </w:p>
    <w:p w:rsidR="00861714" w:rsidRDefault="00861714" w:rsidP="00B11855">
      <w:pPr>
        <w:pStyle w:val="Listeavsnitt"/>
        <w:numPr>
          <w:ilvl w:val="1"/>
          <w:numId w:val="1"/>
        </w:numPr>
        <w:ind w:left="567" w:hanging="567"/>
        <w:jc w:val="both"/>
      </w:pPr>
      <w:r>
        <w:t xml:space="preserve">Translation of resources available if required by contacting SW who will send the templates for translation and include on the website as online e-modules on a country specific page. </w:t>
      </w:r>
    </w:p>
    <w:p w:rsidR="00861714" w:rsidRDefault="00861714" w:rsidP="00861714">
      <w:pPr>
        <w:pStyle w:val="Listeavsnitt"/>
      </w:pPr>
    </w:p>
    <w:p w:rsidR="00861714" w:rsidRDefault="00861714" w:rsidP="00B11855">
      <w:pPr>
        <w:pStyle w:val="Listeavsnitt"/>
        <w:numPr>
          <w:ilvl w:val="1"/>
          <w:numId w:val="1"/>
        </w:numPr>
        <w:ind w:left="567" w:hanging="567"/>
        <w:jc w:val="both"/>
      </w:pPr>
      <w:r>
        <w:t>Teaching materials will also be available for instructors only.</w:t>
      </w:r>
    </w:p>
    <w:p w:rsidR="00861714" w:rsidRDefault="00861714" w:rsidP="00861714">
      <w:pPr>
        <w:pStyle w:val="Listeavsnitt"/>
      </w:pPr>
    </w:p>
    <w:p w:rsidR="00861714" w:rsidRDefault="00861714" w:rsidP="00B11855">
      <w:pPr>
        <w:pStyle w:val="Listeavsnitt"/>
        <w:numPr>
          <w:ilvl w:val="1"/>
          <w:numId w:val="1"/>
        </w:numPr>
        <w:ind w:left="567" w:hanging="567"/>
        <w:jc w:val="both"/>
      </w:pPr>
      <w:r>
        <w:t>MTS reception tool requested to be added to the website – this will be added in the new year.</w:t>
      </w:r>
    </w:p>
    <w:p w:rsidR="00861714" w:rsidRDefault="00861714" w:rsidP="00861714">
      <w:pPr>
        <w:pStyle w:val="Listeavsnitt"/>
      </w:pPr>
    </w:p>
    <w:p w:rsidR="00861714" w:rsidRDefault="00861714" w:rsidP="003747B6"/>
    <w:p w:rsidR="00861714" w:rsidRDefault="00861714" w:rsidP="00861714">
      <w:pPr>
        <w:pStyle w:val="Listeavsnitt"/>
        <w:numPr>
          <w:ilvl w:val="0"/>
          <w:numId w:val="1"/>
        </w:numPr>
        <w:ind w:left="567" w:hanging="567"/>
        <w:jc w:val="both"/>
        <w:rPr>
          <w:b/>
        </w:rPr>
      </w:pPr>
      <w:r w:rsidRPr="00861714">
        <w:rPr>
          <w:b/>
        </w:rPr>
        <w:t>Annual Reports</w:t>
      </w:r>
    </w:p>
    <w:p w:rsidR="00861714" w:rsidRDefault="00861714" w:rsidP="00861714">
      <w:pPr>
        <w:pStyle w:val="Listeavsnitt"/>
        <w:ind w:left="567"/>
        <w:jc w:val="both"/>
        <w:rPr>
          <w:b/>
        </w:rPr>
      </w:pPr>
    </w:p>
    <w:p w:rsidR="00861714" w:rsidRDefault="00861714" w:rsidP="00861714">
      <w:pPr>
        <w:pStyle w:val="Listeavsnitt"/>
        <w:numPr>
          <w:ilvl w:val="1"/>
          <w:numId w:val="1"/>
        </w:numPr>
        <w:ind w:left="567" w:hanging="567"/>
        <w:jc w:val="both"/>
      </w:pPr>
      <w:r w:rsidRPr="00861714">
        <w:t>Annual reports presented by</w:t>
      </w:r>
      <w:r>
        <w:t xml:space="preserve"> all present IRGs. These will be uploaded onto the website for information.</w:t>
      </w:r>
    </w:p>
    <w:p w:rsidR="00861714" w:rsidRDefault="00861714" w:rsidP="00861714">
      <w:pPr>
        <w:pStyle w:val="Listeavsnitt"/>
        <w:ind w:left="567"/>
        <w:jc w:val="both"/>
      </w:pPr>
    </w:p>
    <w:p w:rsidR="00861714" w:rsidRDefault="00861714" w:rsidP="00861714">
      <w:pPr>
        <w:pStyle w:val="Listeavsnitt"/>
        <w:numPr>
          <w:ilvl w:val="1"/>
          <w:numId w:val="1"/>
        </w:numPr>
        <w:ind w:left="567" w:hanging="567"/>
        <w:jc w:val="both"/>
      </w:pPr>
      <w:r>
        <w:t xml:space="preserve">Request from </w:t>
      </w:r>
      <w:r w:rsidR="003357A6">
        <w:t>Portugal (</w:t>
      </w:r>
      <w:r>
        <w:t>PF</w:t>
      </w:r>
      <w:r w:rsidR="003357A6">
        <w:t>)</w:t>
      </w:r>
      <w:r>
        <w:t xml:space="preserve"> for certificate for software to be included in next annual reports.</w:t>
      </w:r>
    </w:p>
    <w:p w:rsidR="00861714" w:rsidRDefault="00861714" w:rsidP="00861714">
      <w:pPr>
        <w:pStyle w:val="Listeavsnitt"/>
      </w:pPr>
    </w:p>
    <w:p w:rsidR="00861714" w:rsidRDefault="00861714" w:rsidP="00861714">
      <w:pPr>
        <w:pStyle w:val="Listeavsnitt"/>
        <w:numPr>
          <w:ilvl w:val="0"/>
          <w:numId w:val="1"/>
        </w:numPr>
        <w:ind w:left="567" w:hanging="567"/>
        <w:jc w:val="both"/>
        <w:rPr>
          <w:b/>
        </w:rPr>
      </w:pPr>
      <w:r w:rsidRPr="00861714">
        <w:rPr>
          <w:b/>
        </w:rPr>
        <w:t>General Discussion and questions</w:t>
      </w:r>
    </w:p>
    <w:p w:rsidR="00861714" w:rsidRDefault="00861714" w:rsidP="00861714">
      <w:pPr>
        <w:pStyle w:val="Listeavsnitt"/>
        <w:ind w:left="567"/>
        <w:jc w:val="both"/>
        <w:rPr>
          <w:b/>
        </w:rPr>
      </w:pPr>
    </w:p>
    <w:p w:rsidR="00861714" w:rsidRDefault="00AA37F3" w:rsidP="00AA37F3">
      <w:pPr>
        <w:pStyle w:val="Listeavsnitt"/>
        <w:numPr>
          <w:ilvl w:val="1"/>
          <w:numId w:val="1"/>
        </w:numPr>
        <w:ind w:left="567" w:hanging="567"/>
        <w:jc w:val="both"/>
      </w:pPr>
      <w:r>
        <w:t>Germany (</w:t>
      </w:r>
      <w:r w:rsidRPr="00AA37F3">
        <w:t>JK</w:t>
      </w:r>
      <w:r>
        <w:t>)</w:t>
      </w:r>
      <w:r w:rsidRPr="00AA37F3">
        <w:t xml:space="preserve">: </w:t>
      </w:r>
      <w:r>
        <w:t xml:space="preserve">Request that ‘Lower abdominal pain’ be included in PV Bleeding chart due to inconsistency with priority of Abdominal pain/Back pain in other charts. </w:t>
      </w:r>
    </w:p>
    <w:p w:rsidR="00AA37F3" w:rsidRDefault="00AA37F3" w:rsidP="00AA37F3">
      <w:pPr>
        <w:pStyle w:val="Listeavsnitt"/>
        <w:numPr>
          <w:ilvl w:val="2"/>
          <w:numId w:val="1"/>
        </w:numPr>
        <w:ind w:hanging="657"/>
        <w:jc w:val="both"/>
      </w:pPr>
      <w:r>
        <w:t>MTG: this will be reviewed and discussed at next IRG.</w:t>
      </w:r>
    </w:p>
    <w:p w:rsidR="00AA37F3" w:rsidRDefault="00AA37F3" w:rsidP="00AA37F3">
      <w:pPr>
        <w:pStyle w:val="Listeavsnitt"/>
        <w:ind w:left="1224"/>
        <w:jc w:val="both"/>
      </w:pPr>
    </w:p>
    <w:p w:rsidR="00AA37F3" w:rsidRDefault="00AA37F3" w:rsidP="00AA37F3">
      <w:pPr>
        <w:pStyle w:val="Listeavsnitt"/>
        <w:numPr>
          <w:ilvl w:val="1"/>
          <w:numId w:val="1"/>
        </w:numPr>
        <w:ind w:left="567" w:hanging="567"/>
        <w:jc w:val="both"/>
      </w:pPr>
      <w:r w:rsidRPr="005B7E33">
        <w:t xml:space="preserve">Austria </w:t>
      </w:r>
      <w:r w:rsidR="005B7E33" w:rsidRPr="005B7E33">
        <w:t>(MB</w:t>
      </w:r>
      <w:r w:rsidRPr="005B7E33">
        <w:t xml:space="preserve">): </w:t>
      </w:r>
      <w:r w:rsidR="003357A6" w:rsidRPr="005B7E33">
        <w:t>Could</w:t>
      </w:r>
      <w:r w:rsidR="003357A6">
        <w:t xml:space="preserve"> the</w:t>
      </w:r>
      <w:r>
        <w:t xml:space="preserve"> definition of ‘Possibly pregnant’ be expanded</w:t>
      </w:r>
    </w:p>
    <w:p w:rsidR="00AA37F3" w:rsidRDefault="00AA37F3" w:rsidP="00AA37F3">
      <w:pPr>
        <w:pStyle w:val="Listeavsnitt"/>
        <w:numPr>
          <w:ilvl w:val="2"/>
          <w:numId w:val="1"/>
        </w:numPr>
        <w:ind w:hanging="657"/>
        <w:jc w:val="both"/>
      </w:pPr>
      <w:r>
        <w:t>MTG: Definition does not need expanding as you have to make decisions based on the self-report from the patient as well as likelihood of pregnancy</w:t>
      </w:r>
    </w:p>
    <w:p w:rsidR="00AA37F3" w:rsidRDefault="00AA37F3" w:rsidP="00AA37F3">
      <w:pPr>
        <w:pStyle w:val="Listeavsnitt"/>
        <w:ind w:left="1224"/>
        <w:jc w:val="both"/>
      </w:pPr>
    </w:p>
    <w:p w:rsidR="00AA37F3" w:rsidRDefault="00AA37F3" w:rsidP="00AA37F3">
      <w:pPr>
        <w:pStyle w:val="Listeavsnitt"/>
        <w:numPr>
          <w:ilvl w:val="1"/>
          <w:numId w:val="1"/>
        </w:numPr>
        <w:ind w:left="567" w:hanging="567"/>
        <w:jc w:val="both"/>
      </w:pPr>
      <w:r>
        <w:t>Norway (GS)</w:t>
      </w:r>
      <w:r w:rsidR="003357A6">
        <w:t>: Could age ranges and physiological values for children be added to the discriminator definitions?</w:t>
      </w:r>
    </w:p>
    <w:p w:rsidR="003357A6" w:rsidRDefault="003357A6" w:rsidP="003357A6">
      <w:pPr>
        <w:pStyle w:val="Listeavsnitt"/>
        <w:numPr>
          <w:ilvl w:val="2"/>
          <w:numId w:val="1"/>
        </w:numPr>
        <w:ind w:hanging="657"/>
        <w:jc w:val="both"/>
      </w:pPr>
      <w:r>
        <w:t>MTG: This would not be possible as each MTS centre or country using the MTS should use their own tools to determine the age ranges and physiological values.</w:t>
      </w:r>
    </w:p>
    <w:p w:rsidR="003357A6" w:rsidRDefault="003357A6" w:rsidP="003357A6">
      <w:pPr>
        <w:pStyle w:val="Listeavsnitt"/>
        <w:ind w:left="1224"/>
        <w:jc w:val="both"/>
      </w:pPr>
    </w:p>
    <w:p w:rsidR="003357A6" w:rsidRDefault="003357A6" w:rsidP="003357A6">
      <w:pPr>
        <w:pStyle w:val="Listeavsnitt"/>
        <w:numPr>
          <w:ilvl w:val="1"/>
          <w:numId w:val="1"/>
        </w:numPr>
        <w:ind w:left="567" w:hanging="567"/>
        <w:jc w:val="both"/>
      </w:pPr>
      <w:r>
        <w:t>Italy (NP): Happy with new sepsis discriminator</w:t>
      </w:r>
    </w:p>
    <w:p w:rsidR="003357A6" w:rsidRDefault="003357A6" w:rsidP="003357A6">
      <w:pPr>
        <w:pStyle w:val="Listeavsnitt"/>
        <w:ind w:left="567"/>
        <w:jc w:val="both"/>
      </w:pPr>
    </w:p>
    <w:p w:rsidR="003357A6" w:rsidRDefault="003357A6" w:rsidP="003357A6">
      <w:pPr>
        <w:pStyle w:val="Listeavsnitt"/>
        <w:numPr>
          <w:ilvl w:val="1"/>
          <w:numId w:val="1"/>
        </w:numPr>
        <w:ind w:left="567" w:hanging="567"/>
        <w:jc w:val="both"/>
      </w:pPr>
      <w:r>
        <w:t>Portugal (PF): Happy with current system.</w:t>
      </w:r>
    </w:p>
    <w:p w:rsidR="003357A6" w:rsidRDefault="003357A6" w:rsidP="003357A6">
      <w:pPr>
        <w:pStyle w:val="Listeavsnitt"/>
      </w:pPr>
    </w:p>
    <w:p w:rsidR="003357A6" w:rsidRDefault="003357A6" w:rsidP="003357A6">
      <w:pPr>
        <w:pStyle w:val="Listeavsnitt"/>
        <w:numPr>
          <w:ilvl w:val="1"/>
          <w:numId w:val="1"/>
        </w:numPr>
        <w:ind w:left="567" w:hanging="567"/>
        <w:jc w:val="both"/>
      </w:pPr>
      <w:r>
        <w:t xml:space="preserve">Netherlands (PM): Will present at next year’s IRG on how children triaged with MTS are over-triaged due to the ‘Known or likely immunosuppression’ discriminator. UK (JW) reiterated that this discriminator is not only a trigger to determine the unwell child/patient but also to assist in recognising that a patient may need to be isolated from the main waiting room due to immunosuppression. </w:t>
      </w:r>
    </w:p>
    <w:p w:rsidR="003357A6" w:rsidRDefault="003357A6" w:rsidP="003357A6">
      <w:pPr>
        <w:pStyle w:val="Listeavsnitt"/>
      </w:pPr>
    </w:p>
    <w:p w:rsidR="003357A6" w:rsidRDefault="003357A6" w:rsidP="003357A6">
      <w:pPr>
        <w:pStyle w:val="Listeavsnitt"/>
        <w:numPr>
          <w:ilvl w:val="0"/>
          <w:numId w:val="1"/>
        </w:numPr>
        <w:ind w:left="567" w:hanging="567"/>
        <w:jc w:val="both"/>
        <w:rPr>
          <w:b/>
        </w:rPr>
      </w:pPr>
      <w:r w:rsidRPr="003357A6">
        <w:rPr>
          <w:b/>
        </w:rPr>
        <w:lastRenderedPageBreak/>
        <w:t>Dates for next meeting</w:t>
      </w:r>
    </w:p>
    <w:p w:rsidR="003357A6" w:rsidRDefault="003357A6" w:rsidP="003357A6">
      <w:pPr>
        <w:pStyle w:val="Listeavsnitt"/>
        <w:ind w:left="567"/>
        <w:jc w:val="both"/>
        <w:rPr>
          <w:b/>
        </w:rPr>
      </w:pPr>
    </w:p>
    <w:p w:rsidR="003357A6" w:rsidRDefault="003357A6" w:rsidP="003357A6">
      <w:pPr>
        <w:pStyle w:val="Listeavsnitt"/>
        <w:numPr>
          <w:ilvl w:val="1"/>
          <w:numId w:val="1"/>
        </w:numPr>
        <w:ind w:left="567" w:hanging="567"/>
        <w:jc w:val="both"/>
      </w:pPr>
      <w:r w:rsidRPr="003357A6">
        <w:t>The next annual IRG m</w:t>
      </w:r>
      <w:r>
        <w:t>eeting will be held in Portugal, with the MTS conference being held on the 11</w:t>
      </w:r>
      <w:r w:rsidRPr="003357A6">
        <w:rPr>
          <w:vertAlign w:val="superscript"/>
        </w:rPr>
        <w:t>th</w:t>
      </w:r>
      <w:r>
        <w:t xml:space="preserve"> October and the IRG meetings on the 12</w:t>
      </w:r>
      <w:r w:rsidRPr="003357A6">
        <w:rPr>
          <w:vertAlign w:val="superscript"/>
        </w:rPr>
        <w:t>th</w:t>
      </w:r>
      <w:r>
        <w:t xml:space="preserve"> October.</w:t>
      </w:r>
    </w:p>
    <w:p w:rsidR="003747B6" w:rsidRDefault="003747B6" w:rsidP="003747B6">
      <w:pPr>
        <w:pStyle w:val="Listeavsnitt"/>
        <w:ind w:left="567"/>
        <w:jc w:val="both"/>
      </w:pPr>
    </w:p>
    <w:p w:rsidR="00D53F81" w:rsidRDefault="003357A6" w:rsidP="00ED19AE">
      <w:pPr>
        <w:pStyle w:val="Listeavsnitt"/>
        <w:numPr>
          <w:ilvl w:val="1"/>
          <w:numId w:val="1"/>
        </w:numPr>
        <w:ind w:left="567" w:hanging="567"/>
        <w:jc w:val="both"/>
      </w:pPr>
      <w:r>
        <w:t xml:space="preserve">The following year was also discussed as Austria </w:t>
      </w:r>
      <w:r w:rsidR="003747B6">
        <w:t>celebrates</w:t>
      </w:r>
      <w:r>
        <w:t xml:space="preserve"> their anniversary of implementation of MTS and requested</w:t>
      </w:r>
      <w:r w:rsidR="003747B6">
        <w:t xml:space="preserve"> to hold the conference in 2019, however due to other commitments and timings of the conference 2019 should be held in UK. This will be discussed with MTG and a decision made.</w:t>
      </w:r>
    </w:p>
    <w:p w:rsidR="00D53F81" w:rsidRDefault="00D53F81" w:rsidP="00D53F81">
      <w:pPr>
        <w:pStyle w:val="Listeavsnitt"/>
      </w:pPr>
    </w:p>
    <w:p w:rsidR="00D53F81" w:rsidRPr="00D53F81" w:rsidRDefault="00D53F81" w:rsidP="00D53F81">
      <w:pPr>
        <w:pStyle w:val="Listeavsnitt"/>
        <w:ind w:left="567"/>
        <w:jc w:val="both"/>
      </w:pPr>
    </w:p>
    <w:p w:rsidR="003747B6" w:rsidRDefault="003747B6" w:rsidP="00ED19AE">
      <w:pPr>
        <w:jc w:val="both"/>
      </w:pPr>
      <w:r>
        <w:rPr>
          <w:b/>
        </w:rPr>
        <w:t>2017 Manchester Triage Group IRG Conference - Actions</w:t>
      </w:r>
    </w:p>
    <w:p w:rsidR="00ED19AE" w:rsidRDefault="00ED19AE" w:rsidP="00ED19AE">
      <w:pPr>
        <w:jc w:val="both"/>
      </w:pPr>
    </w:p>
    <w:tbl>
      <w:tblPr>
        <w:tblStyle w:val="Tabellrutenett"/>
        <w:tblW w:w="9602" w:type="dxa"/>
        <w:tblLook w:val="04A0" w:firstRow="1" w:lastRow="0" w:firstColumn="1" w:lastColumn="0" w:noHBand="0" w:noVBand="1"/>
      </w:tblPr>
      <w:tblGrid>
        <w:gridCol w:w="976"/>
        <w:gridCol w:w="5511"/>
        <w:gridCol w:w="1276"/>
        <w:gridCol w:w="1839"/>
      </w:tblGrid>
      <w:tr w:rsidR="00ED19AE" w:rsidTr="00ED19AE">
        <w:trPr>
          <w:trHeight w:val="295"/>
        </w:trPr>
        <w:tc>
          <w:tcPr>
            <w:tcW w:w="976" w:type="dxa"/>
            <w:shd w:val="clear" w:color="auto" w:fill="C6D9F1" w:themeFill="text2" w:themeFillTint="33"/>
            <w:vAlign w:val="center"/>
          </w:tcPr>
          <w:p w:rsidR="00ED19AE" w:rsidRDefault="00ED19AE" w:rsidP="00ED19AE">
            <w:pPr>
              <w:jc w:val="both"/>
            </w:pPr>
            <w:r>
              <w:t>No</w:t>
            </w:r>
          </w:p>
        </w:tc>
        <w:tc>
          <w:tcPr>
            <w:tcW w:w="5511" w:type="dxa"/>
            <w:shd w:val="clear" w:color="auto" w:fill="C6D9F1" w:themeFill="text2" w:themeFillTint="33"/>
            <w:vAlign w:val="center"/>
          </w:tcPr>
          <w:p w:rsidR="00ED19AE" w:rsidRDefault="00ED19AE" w:rsidP="00ED19AE">
            <w:pPr>
              <w:jc w:val="both"/>
            </w:pPr>
            <w:r>
              <w:t>Action</w:t>
            </w:r>
          </w:p>
        </w:tc>
        <w:tc>
          <w:tcPr>
            <w:tcW w:w="1276" w:type="dxa"/>
            <w:shd w:val="clear" w:color="auto" w:fill="C6D9F1" w:themeFill="text2" w:themeFillTint="33"/>
            <w:vAlign w:val="center"/>
          </w:tcPr>
          <w:p w:rsidR="00ED19AE" w:rsidRDefault="00ED19AE" w:rsidP="00ED19AE">
            <w:pPr>
              <w:jc w:val="both"/>
            </w:pPr>
            <w:r>
              <w:t>Lead</w:t>
            </w:r>
          </w:p>
        </w:tc>
        <w:tc>
          <w:tcPr>
            <w:tcW w:w="1839" w:type="dxa"/>
            <w:shd w:val="clear" w:color="auto" w:fill="C6D9F1" w:themeFill="text2" w:themeFillTint="33"/>
            <w:vAlign w:val="center"/>
          </w:tcPr>
          <w:p w:rsidR="00ED19AE" w:rsidRDefault="00ED19AE" w:rsidP="00B11855">
            <w:r>
              <w:t>Date for completion</w:t>
            </w:r>
          </w:p>
        </w:tc>
      </w:tr>
      <w:tr w:rsidR="002B5C92" w:rsidTr="00ED19AE">
        <w:trPr>
          <w:trHeight w:val="308"/>
        </w:trPr>
        <w:tc>
          <w:tcPr>
            <w:tcW w:w="976" w:type="dxa"/>
          </w:tcPr>
          <w:p w:rsidR="002B5C92" w:rsidRDefault="002B5C92" w:rsidP="00ED19AE">
            <w:pPr>
              <w:jc w:val="both"/>
            </w:pPr>
            <w:r>
              <w:t>2.1</w:t>
            </w:r>
          </w:p>
        </w:tc>
        <w:tc>
          <w:tcPr>
            <w:tcW w:w="5511" w:type="dxa"/>
          </w:tcPr>
          <w:p w:rsidR="002B5C92" w:rsidRDefault="002B5C92" w:rsidP="00ED19AE">
            <w:pPr>
              <w:jc w:val="both"/>
            </w:pPr>
            <w:r>
              <w:t>Email IRG members to invite to T&amp;F group for ‘Dizziness’</w:t>
            </w:r>
          </w:p>
        </w:tc>
        <w:tc>
          <w:tcPr>
            <w:tcW w:w="1276" w:type="dxa"/>
          </w:tcPr>
          <w:p w:rsidR="002B5C92" w:rsidRDefault="000E759F" w:rsidP="00ED19AE">
            <w:pPr>
              <w:jc w:val="both"/>
            </w:pPr>
            <w:r>
              <w:t>Complete</w:t>
            </w:r>
          </w:p>
        </w:tc>
        <w:tc>
          <w:tcPr>
            <w:tcW w:w="1839" w:type="dxa"/>
          </w:tcPr>
          <w:p w:rsidR="002B5C92" w:rsidRDefault="002B5C92" w:rsidP="00ED19AE">
            <w:pPr>
              <w:jc w:val="both"/>
            </w:pPr>
            <w:r>
              <w:t>January 2018</w:t>
            </w:r>
          </w:p>
        </w:tc>
      </w:tr>
      <w:tr w:rsidR="002B5C92" w:rsidTr="00ED19AE">
        <w:trPr>
          <w:trHeight w:val="308"/>
        </w:trPr>
        <w:tc>
          <w:tcPr>
            <w:tcW w:w="976" w:type="dxa"/>
          </w:tcPr>
          <w:p w:rsidR="002B5C92" w:rsidRDefault="002B5C92" w:rsidP="00ED19AE">
            <w:pPr>
              <w:jc w:val="both"/>
            </w:pPr>
            <w:r>
              <w:t>2.1</w:t>
            </w:r>
          </w:p>
        </w:tc>
        <w:tc>
          <w:tcPr>
            <w:tcW w:w="5511" w:type="dxa"/>
          </w:tcPr>
          <w:p w:rsidR="002B5C92" w:rsidRDefault="002B5C92" w:rsidP="00ED19AE">
            <w:pPr>
              <w:jc w:val="both"/>
            </w:pPr>
            <w:r>
              <w:t>Develop vignettes to evaluate effectiveness of ‘Dizziness’ chart</w:t>
            </w:r>
          </w:p>
        </w:tc>
        <w:tc>
          <w:tcPr>
            <w:tcW w:w="1276" w:type="dxa"/>
          </w:tcPr>
          <w:p w:rsidR="002B5C92" w:rsidRDefault="002B5C92" w:rsidP="00ED19AE">
            <w:pPr>
              <w:jc w:val="both"/>
            </w:pPr>
            <w:r>
              <w:t>JK</w:t>
            </w:r>
          </w:p>
        </w:tc>
        <w:tc>
          <w:tcPr>
            <w:tcW w:w="1839" w:type="dxa"/>
          </w:tcPr>
          <w:p w:rsidR="002B5C92" w:rsidRDefault="002B5C92" w:rsidP="00ED19AE">
            <w:pPr>
              <w:jc w:val="both"/>
            </w:pPr>
            <w:r>
              <w:t>2018 IRG</w:t>
            </w:r>
          </w:p>
        </w:tc>
      </w:tr>
      <w:tr w:rsidR="00D53F81" w:rsidTr="00ED19AE">
        <w:trPr>
          <w:trHeight w:val="308"/>
        </w:trPr>
        <w:tc>
          <w:tcPr>
            <w:tcW w:w="976" w:type="dxa"/>
          </w:tcPr>
          <w:p w:rsidR="00D53F81" w:rsidRDefault="00D53F81" w:rsidP="00ED19AE">
            <w:pPr>
              <w:jc w:val="both"/>
            </w:pPr>
            <w:r>
              <w:t>2.1</w:t>
            </w:r>
          </w:p>
        </w:tc>
        <w:tc>
          <w:tcPr>
            <w:tcW w:w="5511" w:type="dxa"/>
          </w:tcPr>
          <w:p w:rsidR="00D53F81" w:rsidRDefault="00D53F81" w:rsidP="00ED19AE">
            <w:pPr>
              <w:jc w:val="both"/>
            </w:pPr>
            <w:r>
              <w:t>Send explanation of IT contract wording to IRG regarding updates</w:t>
            </w:r>
          </w:p>
        </w:tc>
        <w:tc>
          <w:tcPr>
            <w:tcW w:w="1276" w:type="dxa"/>
          </w:tcPr>
          <w:p w:rsidR="00D53F81" w:rsidRDefault="00D53F81" w:rsidP="00ED19AE">
            <w:pPr>
              <w:jc w:val="both"/>
            </w:pPr>
            <w:r>
              <w:t>SM</w:t>
            </w:r>
          </w:p>
        </w:tc>
        <w:tc>
          <w:tcPr>
            <w:tcW w:w="1839" w:type="dxa"/>
          </w:tcPr>
          <w:p w:rsidR="00D53F81" w:rsidRDefault="00D53F81" w:rsidP="00ED19AE">
            <w:pPr>
              <w:jc w:val="both"/>
            </w:pPr>
          </w:p>
        </w:tc>
      </w:tr>
      <w:tr w:rsidR="00D53F81" w:rsidTr="00ED19AE">
        <w:trPr>
          <w:trHeight w:val="308"/>
        </w:trPr>
        <w:tc>
          <w:tcPr>
            <w:tcW w:w="976" w:type="dxa"/>
          </w:tcPr>
          <w:p w:rsidR="00D53F81" w:rsidRDefault="00D53F81" w:rsidP="00ED19AE">
            <w:pPr>
              <w:jc w:val="both"/>
            </w:pPr>
            <w:r>
              <w:t>2.4</w:t>
            </w:r>
          </w:p>
        </w:tc>
        <w:tc>
          <w:tcPr>
            <w:tcW w:w="5511" w:type="dxa"/>
          </w:tcPr>
          <w:p w:rsidR="00D53F81" w:rsidRDefault="00D53F81" w:rsidP="00ED19AE">
            <w:pPr>
              <w:jc w:val="both"/>
            </w:pPr>
            <w:r>
              <w:t>Development of specialist maternity/OBGYN MTS Chart</w:t>
            </w:r>
          </w:p>
        </w:tc>
        <w:tc>
          <w:tcPr>
            <w:tcW w:w="1276" w:type="dxa"/>
          </w:tcPr>
          <w:p w:rsidR="00D53F81" w:rsidRDefault="00D53F81" w:rsidP="00ED19AE">
            <w:pPr>
              <w:jc w:val="both"/>
            </w:pPr>
            <w:r>
              <w:t>OBGYN T&amp;F group</w:t>
            </w:r>
          </w:p>
        </w:tc>
        <w:tc>
          <w:tcPr>
            <w:tcW w:w="1839" w:type="dxa"/>
          </w:tcPr>
          <w:p w:rsidR="00D53F81" w:rsidRDefault="00D53F81" w:rsidP="00ED19AE">
            <w:pPr>
              <w:jc w:val="both"/>
            </w:pPr>
            <w:r>
              <w:t>2018 IRG</w:t>
            </w:r>
          </w:p>
        </w:tc>
      </w:tr>
      <w:tr w:rsidR="00ED19AE" w:rsidTr="00ED19AE">
        <w:trPr>
          <w:trHeight w:val="308"/>
        </w:trPr>
        <w:tc>
          <w:tcPr>
            <w:tcW w:w="976" w:type="dxa"/>
          </w:tcPr>
          <w:p w:rsidR="00ED19AE" w:rsidRDefault="003747B6" w:rsidP="00ED19AE">
            <w:pPr>
              <w:jc w:val="both"/>
            </w:pPr>
            <w:r>
              <w:t>3</w:t>
            </w:r>
            <w:r w:rsidR="00861714">
              <w:t>.1.2</w:t>
            </w:r>
          </w:p>
        </w:tc>
        <w:tc>
          <w:tcPr>
            <w:tcW w:w="5511" w:type="dxa"/>
          </w:tcPr>
          <w:p w:rsidR="00ED19AE" w:rsidRDefault="00ED19AE" w:rsidP="00ED19AE">
            <w:pPr>
              <w:jc w:val="both"/>
            </w:pPr>
            <w:r>
              <w:t>Send Netherlands legal department link to electronic MOU to answer any questions</w:t>
            </w:r>
          </w:p>
        </w:tc>
        <w:tc>
          <w:tcPr>
            <w:tcW w:w="1276" w:type="dxa"/>
          </w:tcPr>
          <w:p w:rsidR="00ED19AE" w:rsidRDefault="00ED19AE" w:rsidP="00ED19AE">
            <w:pPr>
              <w:jc w:val="both"/>
            </w:pPr>
            <w:r>
              <w:t>SW/KMJ</w:t>
            </w:r>
          </w:p>
        </w:tc>
        <w:tc>
          <w:tcPr>
            <w:tcW w:w="1839" w:type="dxa"/>
          </w:tcPr>
          <w:p w:rsidR="00ED19AE" w:rsidRDefault="00ED19AE" w:rsidP="00ED19AE">
            <w:pPr>
              <w:jc w:val="both"/>
            </w:pPr>
          </w:p>
        </w:tc>
      </w:tr>
      <w:tr w:rsidR="00ED19AE" w:rsidTr="00ED19AE">
        <w:trPr>
          <w:trHeight w:val="308"/>
        </w:trPr>
        <w:tc>
          <w:tcPr>
            <w:tcW w:w="976" w:type="dxa"/>
          </w:tcPr>
          <w:p w:rsidR="00ED19AE" w:rsidRDefault="003747B6" w:rsidP="00ED19AE">
            <w:pPr>
              <w:jc w:val="both"/>
            </w:pPr>
            <w:r>
              <w:t>3</w:t>
            </w:r>
            <w:r w:rsidR="00861714">
              <w:t>.2</w:t>
            </w:r>
          </w:p>
        </w:tc>
        <w:tc>
          <w:tcPr>
            <w:tcW w:w="5511" w:type="dxa"/>
          </w:tcPr>
          <w:p w:rsidR="00ED19AE" w:rsidRDefault="00B11855" w:rsidP="00ED19AE">
            <w:pPr>
              <w:jc w:val="both"/>
            </w:pPr>
            <w:r>
              <w:t>Send governance structure to IRG</w:t>
            </w:r>
          </w:p>
        </w:tc>
        <w:tc>
          <w:tcPr>
            <w:tcW w:w="1276" w:type="dxa"/>
          </w:tcPr>
          <w:p w:rsidR="00ED19AE" w:rsidRDefault="00B11855" w:rsidP="00ED19AE">
            <w:pPr>
              <w:jc w:val="both"/>
            </w:pPr>
            <w:r>
              <w:t>SW</w:t>
            </w:r>
          </w:p>
        </w:tc>
        <w:tc>
          <w:tcPr>
            <w:tcW w:w="1839" w:type="dxa"/>
          </w:tcPr>
          <w:p w:rsidR="00ED19AE" w:rsidRDefault="00ED19AE" w:rsidP="00ED19AE">
            <w:pPr>
              <w:jc w:val="both"/>
            </w:pPr>
          </w:p>
        </w:tc>
      </w:tr>
      <w:tr w:rsidR="00ED19AE" w:rsidTr="00ED19AE">
        <w:trPr>
          <w:trHeight w:val="308"/>
        </w:trPr>
        <w:tc>
          <w:tcPr>
            <w:tcW w:w="976" w:type="dxa"/>
          </w:tcPr>
          <w:p w:rsidR="00ED19AE" w:rsidRDefault="003747B6" w:rsidP="00ED19AE">
            <w:pPr>
              <w:jc w:val="both"/>
            </w:pPr>
            <w:r>
              <w:t>3</w:t>
            </w:r>
            <w:r w:rsidR="00861714">
              <w:t>.4</w:t>
            </w:r>
          </w:p>
        </w:tc>
        <w:tc>
          <w:tcPr>
            <w:tcW w:w="5511" w:type="dxa"/>
          </w:tcPr>
          <w:p w:rsidR="00ED19AE" w:rsidRDefault="00B11855" w:rsidP="00ED19AE">
            <w:pPr>
              <w:jc w:val="both"/>
            </w:pPr>
            <w:r>
              <w:t>Write to IRG to invite nominations for members</w:t>
            </w:r>
          </w:p>
        </w:tc>
        <w:tc>
          <w:tcPr>
            <w:tcW w:w="1276" w:type="dxa"/>
          </w:tcPr>
          <w:p w:rsidR="00ED19AE" w:rsidRDefault="00B11855" w:rsidP="00ED19AE">
            <w:pPr>
              <w:jc w:val="both"/>
            </w:pPr>
            <w:r>
              <w:t>SW</w:t>
            </w:r>
          </w:p>
        </w:tc>
        <w:tc>
          <w:tcPr>
            <w:tcW w:w="1839" w:type="dxa"/>
          </w:tcPr>
          <w:p w:rsidR="00ED19AE" w:rsidRDefault="00B11855" w:rsidP="00ED19AE">
            <w:pPr>
              <w:jc w:val="both"/>
            </w:pPr>
            <w:r>
              <w:t>January 2018</w:t>
            </w:r>
          </w:p>
        </w:tc>
      </w:tr>
      <w:tr w:rsidR="00ED19AE" w:rsidTr="00ED19AE">
        <w:trPr>
          <w:trHeight w:val="308"/>
        </w:trPr>
        <w:tc>
          <w:tcPr>
            <w:tcW w:w="976" w:type="dxa"/>
          </w:tcPr>
          <w:p w:rsidR="00ED19AE" w:rsidRDefault="003747B6" w:rsidP="00ED19AE">
            <w:pPr>
              <w:jc w:val="both"/>
            </w:pPr>
            <w:r>
              <w:t>4</w:t>
            </w:r>
            <w:r w:rsidR="00861714">
              <w:t>.4</w:t>
            </w:r>
          </w:p>
        </w:tc>
        <w:tc>
          <w:tcPr>
            <w:tcW w:w="5511" w:type="dxa"/>
          </w:tcPr>
          <w:p w:rsidR="00ED19AE" w:rsidRDefault="00861714" w:rsidP="00ED19AE">
            <w:pPr>
              <w:jc w:val="both"/>
            </w:pPr>
            <w:r>
              <w:t>Send full NaRT and Police dictionary to JW for review</w:t>
            </w:r>
          </w:p>
        </w:tc>
        <w:tc>
          <w:tcPr>
            <w:tcW w:w="1276" w:type="dxa"/>
          </w:tcPr>
          <w:p w:rsidR="00ED19AE" w:rsidRDefault="00861714" w:rsidP="00ED19AE">
            <w:pPr>
              <w:jc w:val="both"/>
            </w:pPr>
            <w:r>
              <w:t>SA</w:t>
            </w:r>
            <w:r w:rsidR="000E759F">
              <w:t xml:space="preserve"> complete</w:t>
            </w:r>
          </w:p>
        </w:tc>
        <w:tc>
          <w:tcPr>
            <w:tcW w:w="1839" w:type="dxa"/>
          </w:tcPr>
          <w:p w:rsidR="00ED19AE" w:rsidRDefault="000E759F" w:rsidP="00ED19AE">
            <w:pPr>
              <w:jc w:val="both"/>
            </w:pPr>
            <w:r>
              <w:t>January 2018</w:t>
            </w:r>
          </w:p>
        </w:tc>
      </w:tr>
      <w:tr w:rsidR="00861714" w:rsidTr="00861714">
        <w:trPr>
          <w:trHeight w:val="308"/>
        </w:trPr>
        <w:tc>
          <w:tcPr>
            <w:tcW w:w="976" w:type="dxa"/>
          </w:tcPr>
          <w:p w:rsidR="00861714" w:rsidRDefault="003747B6" w:rsidP="00BF664E">
            <w:pPr>
              <w:jc w:val="both"/>
            </w:pPr>
            <w:r>
              <w:t>5</w:t>
            </w:r>
            <w:r w:rsidR="00861714">
              <w:t>.1</w:t>
            </w:r>
          </w:p>
        </w:tc>
        <w:tc>
          <w:tcPr>
            <w:tcW w:w="5511" w:type="dxa"/>
          </w:tcPr>
          <w:p w:rsidR="00861714" w:rsidRDefault="00861714" w:rsidP="00BF664E">
            <w:pPr>
              <w:jc w:val="both"/>
            </w:pPr>
            <w:r>
              <w:t>Upload all annual reports onto website</w:t>
            </w:r>
          </w:p>
        </w:tc>
        <w:tc>
          <w:tcPr>
            <w:tcW w:w="1276" w:type="dxa"/>
          </w:tcPr>
          <w:p w:rsidR="00861714" w:rsidRDefault="00861714" w:rsidP="00BF664E">
            <w:pPr>
              <w:jc w:val="both"/>
            </w:pPr>
            <w:r>
              <w:t>SA/SW</w:t>
            </w:r>
            <w:r w:rsidR="000E759F">
              <w:t xml:space="preserve"> complete</w:t>
            </w:r>
          </w:p>
        </w:tc>
        <w:tc>
          <w:tcPr>
            <w:tcW w:w="1839" w:type="dxa"/>
          </w:tcPr>
          <w:p w:rsidR="00861714" w:rsidRDefault="000E759F" w:rsidP="00BF664E">
            <w:pPr>
              <w:jc w:val="both"/>
            </w:pPr>
            <w:r>
              <w:t>January 2018</w:t>
            </w:r>
          </w:p>
        </w:tc>
      </w:tr>
      <w:tr w:rsidR="00861714" w:rsidTr="00861714">
        <w:trPr>
          <w:trHeight w:val="308"/>
        </w:trPr>
        <w:tc>
          <w:tcPr>
            <w:tcW w:w="976" w:type="dxa"/>
          </w:tcPr>
          <w:p w:rsidR="00861714" w:rsidRDefault="003747B6" w:rsidP="00BF664E">
            <w:pPr>
              <w:jc w:val="both"/>
            </w:pPr>
            <w:r>
              <w:t>7.2</w:t>
            </w:r>
          </w:p>
        </w:tc>
        <w:tc>
          <w:tcPr>
            <w:tcW w:w="5511" w:type="dxa"/>
          </w:tcPr>
          <w:p w:rsidR="00861714" w:rsidRDefault="003747B6" w:rsidP="00BF664E">
            <w:pPr>
              <w:jc w:val="both"/>
            </w:pPr>
            <w:r>
              <w:t>Decision for location of 2019 MTS conference and IRG</w:t>
            </w:r>
          </w:p>
        </w:tc>
        <w:tc>
          <w:tcPr>
            <w:tcW w:w="1276" w:type="dxa"/>
          </w:tcPr>
          <w:p w:rsidR="00861714" w:rsidRDefault="003747B6" w:rsidP="00BF664E">
            <w:pPr>
              <w:jc w:val="both"/>
            </w:pPr>
            <w:r>
              <w:t>SW/MTG</w:t>
            </w:r>
          </w:p>
        </w:tc>
        <w:tc>
          <w:tcPr>
            <w:tcW w:w="1839" w:type="dxa"/>
          </w:tcPr>
          <w:p w:rsidR="00861714" w:rsidRDefault="000E759F" w:rsidP="00BF664E">
            <w:pPr>
              <w:jc w:val="both"/>
            </w:pPr>
            <w:r>
              <w:t>Complete</w:t>
            </w:r>
          </w:p>
        </w:tc>
      </w:tr>
      <w:tr w:rsidR="00861714" w:rsidTr="00861714">
        <w:trPr>
          <w:trHeight w:val="308"/>
        </w:trPr>
        <w:tc>
          <w:tcPr>
            <w:tcW w:w="976" w:type="dxa"/>
          </w:tcPr>
          <w:p w:rsidR="00861714" w:rsidRDefault="00861714" w:rsidP="00BF664E">
            <w:pPr>
              <w:jc w:val="both"/>
            </w:pPr>
          </w:p>
        </w:tc>
        <w:tc>
          <w:tcPr>
            <w:tcW w:w="5511" w:type="dxa"/>
          </w:tcPr>
          <w:p w:rsidR="00861714" w:rsidRDefault="00861714" w:rsidP="00BF664E">
            <w:pPr>
              <w:jc w:val="both"/>
            </w:pPr>
          </w:p>
        </w:tc>
        <w:tc>
          <w:tcPr>
            <w:tcW w:w="1276" w:type="dxa"/>
          </w:tcPr>
          <w:p w:rsidR="00861714" w:rsidRDefault="00861714" w:rsidP="00BF664E">
            <w:pPr>
              <w:jc w:val="both"/>
            </w:pPr>
          </w:p>
        </w:tc>
        <w:tc>
          <w:tcPr>
            <w:tcW w:w="1839" w:type="dxa"/>
          </w:tcPr>
          <w:p w:rsidR="00861714" w:rsidRDefault="00861714" w:rsidP="00BF664E">
            <w:pPr>
              <w:jc w:val="both"/>
            </w:pPr>
          </w:p>
        </w:tc>
      </w:tr>
    </w:tbl>
    <w:p w:rsidR="00ED19AE" w:rsidRDefault="00ED19AE" w:rsidP="00ED19AE">
      <w:pPr>
        <w:jc w:val="both"/>
      </w:pPr>
    </w:p>
    <w:p w:rsidR="00ED19AE" w:rsidRDefault="00ED19AE" w:rsidP="00ED19AE">
      <w:pPr>
        <w:pStyle w:val="Listeavsnitt"/>
        <w:ind w:left="360"/>
        <w:jc w:val="both"/>
      </w:pPr>
    </w:p>
    <w:sectPr w:rsidR="00ED19AE" w:rsidSect="005B7E3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DF" w:rsidRDefault="009367DF" w:rsidP="00E92FAB">
      <w:pPr>
        <w:spacing w:after="0" w:line="240" w:lineRule="auto"/>
      </w:pPr>
      <w:r>
        <w:separator/>
      </w:r>
    </w:p>
  </w:endnote>
  <w:endnote w:type="continuationSeparator" w:id="0">
    <w:p w:rsidR="009367DF" w:rsidRDefault="009367DF" w:rsidP="00E9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DF" w:rsidRDefault="009367DF" w:rsidP="00E92FAB">
      <w:pPr>
        <w:spacing w:after="0" w:line="240" w:lineRule="auto"/>
      </w:pPr>
      <w:r>
        <w:separator/>
      </w:r>
    </w:p>
  </w:footnote>
  <w:footnote w:type="continuationSeparator" w:id="0">
    <w:p w:rsidR="009367DF" w:rsidRDefault="009367DF" w:rsidP="00E9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A012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AE"/>
    <w:rsid w:val="000E759F"/>
    <w:rsid w:val="001A42B2"/>
    <w:rsid w:val="002B5C92"/>
    <w:rsid w:val="003357A6"/>
    <w:rsid w:val="003747B6"/>
    <w:rsid w:val="005B7E33"/>
    <w:rsid w:val="007070B1"/>
    <w:rsid w:val="007D1222"/>
    <w:rsid w:val="00861714"/>
    <w:rsid w:val="009367DF"/>
    <w:rsid w:val="00946191"/>
    <w:rsid w:val="00AA37F3"/>
    <w:rsid w:val="00B11855"/>
    <w:rsid w:val="00B301D7"/>
    <w:rsid w:val="00B460BF"/>
    <w:rsid w:val="00D53F81"/>
    <w:rsid w:val="00DC081F"/>
    <w:rsid w:val="00E92FAB"/>
    <w:rsid w:val="00ED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DB989-E2FC-4040-A93D-38CCF933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D19AE"/>
    <w:pPr>
      <w:ind w:left="720"/>
      <w:contextualSpacing/>
    </w:pPr>
  </w:style>
  <w:style w:type="table" w:styleId="Tabellrutenett">
    <w:name w:val="Table Grid"/>
    <w:basedOn w:val="Vanligtabell"/>
    <w:uiPriority w:val="59"/>
    <w:rsid w:val="00ED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61714"/>
    <w:rPr>
      <w:color w:val="0000FF" w:themeColor="hyperlink"/>
      <w:u w:val="single"/>
    </w:rPr>
  </w:style>
  <w:style w:type="paragraph" w:styleId="Topptekst">
    <w:name w:val="header"/>
    <w:basedOn w:val="Normal"/>
    <w:link w:val="TopptekstTegn"/>
    <w:uiPriority w:val="99"/>
    <w:unhideWhenUsed/>
    <w:rsid w:val="00E92FA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92FAB"/>
  </w:style>
  <w:style w:type="paragraph" w:styleId="Bunntekst">
    <w:name w:val="footer"/>
    <w:basedOn w:val="Normal"/>
    <w:link w:val="BunntekstTegn"/>
    <w:uiPriority w:val="99"/>
    <w:unhideWhenUsed/>
    <w:rsid w:val="00E92FA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9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age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5690</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North West Ambulance Service</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Allmark</dc:creator>
  <cp:lastModifiedBy>Tale Brokstad</cp:lastModifiedBy>
  <cp:revision>2</cp:revision>
  <dcterms:created xsi:type="dcterms:W3CDTF">2018-01-30T10:53:00Z</dcterms:created>
  <dcterms:modified xsi:type="dcterms:W3CDTF">2018-01-30T10:53:00Z</dcterms:modified>
</cp:coreProperties>
</file>