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AD" w:rsidRPr="00593BA3" w:rsidRDefault="00593BA3" w:rsidP="00B855BB">
      <w:pPr>
        <w:spacing w:line="240" w:lineRule="auto"/>
        <w:rPr>
          <w:b/>
          <w:sz w:val="28"/>
          <w:szCs w:val="28"/>
        </w:rPr>
      </w:pPr>
      <w:r w:rsidRPr="00593BA3">
        <w:rPr>
          <w:b/>
          <w:sz w:val="28"/>
          <w:szCs w:val="28"/>
        </w:rPr>
        <w:t>Utdypende i</w:t>
      </w:r>
      <w:r w:rsidR="00AC62AD" w:rsidRPr="00593BA3">
        <w:rPr>
          <w:b/>
          <w:sz w:val="28"/>
          <w:szCs w:val="28"/>
        </w:rPr>
        <w:t>nformasjon</w:t>
      </w:r>
      <w:bookmarkStart w:id="0" w:name="_GoBack"/>
      <w:bookmarkEnd w:id="0"/>
      <w:r w:rsidR="00AC62AD" w:rsidRPr="00593BA3">
        <w:rPr>
          <w:b/>
          <w:sz w:val="28"/>
          <w:szCs w:val="28"/>
        </w:rPr>
        <w:t xml:space="preserve"> om diskriminator « Mulig sepsis»</w:t>
      </w:r>
    </w:p>
    <w:p w:rsidR="00AC62AD" w:rsidRPr="00020C92" w:rsidRDefault="00AC62AD" w:rsidP="00B855BB">
      <w:pPr>
        <w:spacing w:line="240" w:lineRule="auto"/>
        <w:rPr>
          <w:sz w:val="16"/>
          <w:szCs w:val="16"/>
        </w:rPr>
      </w:pPr>
    </w:p>
    <w:p w:rsidR="00E71B0F" w:rsidRDefault="009400EE" w:rsidP="00877AF7">
      <w:pPr>
        <w:pStyle w:val="Listeavsnitt"/>
        <w:numPr>
          <w:ilvl w:val="0"/>
          <w:numId w:val="1"/>
        </w:numPr>
        <w:spacing w:line="240" w:lineRule="auto"/>
      </w:pPr>
      <w:r>
        <w:t>MTS/TTA bruker de samme</w:t>
      </w:r>
      <w:r w:rsidR="00E71B0F">
        <w:t xml:space="preserve"> kriteriene som </w:t>
      </w:r>
      <w:proofErr w:type="spellStart"/>
      <w:r w:rsidR="00E71B0F">
        <w:t>qSOFA</w:t>
      </w:r>
      <w:proofErr w:type="spellEnd"/>
      <w:r w:rsidR="00E71B0F">
        <w:t xml:space="preserve"> for å vurd</w:t>
      </w:r>
      <w:r w:rsidR="00846763">
        <w:t>e</w:t>
      </w:r>
      <w:r w:rsidR="00E71B0F">
        <w:t xml:space="preserve">ring av pasienter med </w:t>
      </w:r>
      <w:r>
        <w:t xml:space="preserve"> «mulig sepsis». I motsetning til </w:t>
      </w:r>
      <w:proofErr w:type="spellStart"/>
      <w:r>
        <w:t>qSOFA</w:t>
      </w:r>
      <w:proofErr w:type="spellEnd"/>
      <w:r>
        <w:t xml:space="preserve"> er det</w:t>
      </w:r>
      <w:r w:rsidR="00EE2D92">
        <w:t xml:space="preserve"> i MTS/TTA</w:t>
      </w:r>
      <w:r>
        <w:t xml:space="preserve"> tilstrekkelig med e</w:t>
      </w:r>
      <w:r w:rsidR="00EE2D92">
        <w:t>n positiv måling for å få en</w:t>
      </w:r>
      <w:r>
        <w:t xml:space="preserve"> </w:t>
      </w:r>
      <w:r w:rsidR="00EE2D92">
        <w:t>positiv diskriminator</w:t>
      </w:r>
      <w:r w:rsidR="00B74AB2">
        <w:t xml:space="preserve"> «mulig sepsis» og dermed høy h</w:t>
      </w:r>
      <w:r>
        <w:t>astegrad</w:t>
      </w:r>
      <w:r w:rsidR="00EE2D92">
        <w:t>.</w:t>
      </w:r>
      <w:r>
        <w:t xml:space="preserve"> </w:t>
      </w:r>
      <w:r w:rsidR="00EE2D92">
        <w:t xml:space="preserve">Dette fordi </w:t>
      </w:r>
      <w:proofErr w:type="spellStart"/>
      <w:r w:rsidR="00EE2D92">
        <w:t>Triage</w:t>
      </w:r>
      <w:proofErr w:type="spellEnd"/>
      <w:r w:rsidR="00EE2D92">
        <w:t xml:space="preserve"> er et hjelpemiddel</w:t>
      </w:r>
      <w:r w:rsidR="00E71B0F">
        <w:t xml:space="preserve"> for vurdering av hastegrad og</w:t>
      </w:r>
      <w:r w:rsidR="00EE2D92">
        <w:t xml:space="preserve"> dermed </w:t>
      </w:r>
      <w:r w:rsidR="00E71B0F">
        <w:t xml:space="preserve">forsvarlig ventetid til legevurdering, </w:t>
      </w:r>
      <w:proofErr w:type="spellStart"/>
      <w:r w:rsidR="00E71B0F">
        <w:t>qSOFA</w:t>
      </w:r>
      <w:proofErr w:type="spellEnd"/>
      <w:r w:rsidR="00E71B0F">
        <w:t xml:space="preserve"> </w:t>
      </w:r>
      <w:r w:rsidR="00EE2D92">
        <w:t xml:space="preserve">derimot </w:t>
      </w:r>
      <w:r w:rsidR="00E71B0F">
        <w:t xml:space="preserve">er et skåringssystem </w:t>
      </w:r>
      <w:r w:rsidR="00EE2D92">
        <w:t>for</w:t>
      </w:r>
      <w:r w:rsidR="00E71B0F">
        <w:t xml:space="preserve"> identi</w:t>
      </w:r>
      <w:r w:rsidR="00EE2D92">
        <w:t>fisering av</w:t>
      </w:r>
      <w:r w:rsidR="00E71B0F">
        <w:t xml:space="preserve"> </w:t>
      </w:r>
      <w:r w:rsidR="00EE2D92">
        <w:t>infeksjons</w:t>
      </w:r>
      <w:r w:rsidR="00E71B0F">
        <w:t xml:space="preserve">pasienter </w:t>
      </w:r>
      <w:r w:rsidR="00EE2D92">
        <w:t>med</w:t>
      </w:r>
      <w:r w:rsidR="00E71B0F">
        <w:t xml:space="preserve"> høyere risiko for komplikasjoner ved forsinket behandling.</w:t>
      </w:r>
      <w:r w:rsidR="00EE2D92">
        <w:t xml:space="preserve"> </w:t>
      </w:r>
      <w:r w:rsidR="0071279B">
        <w:t xml:space="preserve">En skår på 2 i </w:t>
      </w:r>
      <w:proofErr w:type="spellStart"/>
      <w:r w:rsidR="0071279B">
        <w:t>qSOFA</w:t>
      </w:r>
      <w:proofErr w:type="spellEnd"/>
      <w:r w:rsidR="0071279B">
        <w:t xml:space="preserve"> betyr «sannsynlig sepsis» (6</w:t>
      </w:r>
      <w:r w:rsidR="00B74AB2">
        <w:t>-10% risiko for død eller behandling på intensivavdeling &lt; 3 dager</w:t>
      </w:r>
      <w:r w:rsidR="0071279B">
        <w:t xml:space="preserve">), en skår på 1 i </w:t>
      </w:r>
      <w:proofErr w:type="spellStart"/>
      <w:r w:rsidR="0071279B">
        <w:t>qSOFA</w:t>
      </w:r>
      <w:proofErr w:type="spellEnd"/>
      <w:r w:rsidR="0071279B">
        <w:t xml:space="preserve"> betyr «mulig sepsis» (3% risiko</w:t>
      </w:r>
      <w:r w:rsidR="00B74AB2">
        <w:t xml:space="preserve"> for komplikasjoner</w:t>
      </w:r>
      <w:r w:rsidR="0071279B">
        <w:t>).</w:t>
      </w:r>
      <w:proofErr w:type="spellStart"/>
      <w:r w:rsidR="0071279B">
        <w:t>Triagsystemer</w:t>
      </w:r>
      <w:proofErr w:type="spellEnd"/>
      <w:r w:rsidR="00EE2D92">
        <w:t xml:space="preserve"> har ofte en lavere terskel for å gi høy hastegrad</w:t>
      </w:r>
    </w:p>
    <w:p w:rsidR="009400EE" w:rsidRDefault="00E71B0F" w:rsidP="00E71B0F">
      <w:pPr>
        <w:pStyle w:val="Listeavsnitt"/>
        <w:spacing w:line="240" w:lineRule="auto"/>
      </w:pPr>
      <w:r>
        <w:t xml:space="preserve"> </w:t>
      </w:r>
      <w:r w:rsidR="009400EE">
        <w:t xml:space="preserve">  </w:t>
      </w:r>
    </w:p>
    <w:p w:rsidR="00877AF7" w:rsidRDefault="00877AF7" w:rsidP="00877AF7">
      <w:pPr>
        <w:pStyle w:val="Listeavsnitt"/>
        <w:numPr>
          <w:ilvl w:val="0"/>
          <w:numId w:val="1"/>
        </w:numPr>
        <w:spacing w:line="240" w:lineRule="auto"/>
      </w:pPr>
      <w:r>
        <w:t>«Mistenkt/ påvist infeksjon»: pasient</w:t>
      </w:r>
      <w:r w:rsidR="007D3A6F">
        <w:t>ens</w:t>
      </w:r>
      <w:r>
        <w:t xml:space="preserve"> sykehistorie og symptomer kan styrke eller svekke mistanken om infeksjon.  Tenk alltid «kan dette være sepsis?». Husk at mange pasienter med mulig</w:t>
      </w:r>
      <w:r w:rsidR="003C28EE">
        <w:t xml:space="preserve"> sepsis er afebrile og har </w:t>
      </w:r>
      <w:proofErr w:type="spellStart"/>
      <w:r w:rsidR="003C28EE">
        <w:t>u</w:t>
      </w:r>
      <w:r>
        <w:t>spesifikke</w:t>
      </w:r>
      <w:proofErr w:type="spellEnd"/>
      <w:r>
        <w:t xml:space="preserve"> symptomer som generell slapphet og uvelhet, smerter i hele kroppen. Vær spesielt oppmerksom ved språk- og kommunikasjonspro</w:t>
      </w:r>
      <w:r w:rsidR="003C28EE">
        <w:t>blemer. Risikofaktorer for</w:t>
      </w:r>
      <w:r>
        <w:t xml:space="preserve"> sepsis er blant annet </w:t>
      </w:r>
      <w:proofErr w:type="spellStart"/>
      <w:r>
        <w:t>neutropeni</w:t>
      </w:r>
      <w:proofErr w:type="spellEnd"/>
      <w:r>
        <w:t xml:space="preserve">, veldig høy eller lav alder (&lt;1 år og &gt; 75 år), generelt nedsatt immunrespons (langvarig bruk av steroider, diabetes </w:t>
      </w:r>
      <w:proofErr w:type="spellStart"/>
      <w:r>
        <w:t>mellitus</w:t>
      </w:r>
      <w:proofErr w:type="spellEnd"/>
      <w:r>
        <w:t xml:space="preserve">, </w:t>
      </w:r>
      <w:proofErr w:type="spellStart"/>
      <w:r>
        <w:t>splenektomi</w:t>
      </w:r>
      <w:proofErr w:type="spellEnd"/>
      <w:r>
        <w:t>, en rekke kroniske sykdommer, pågående strålebehandling eller kjemoterapi ), nylig gjennomført operasjon, narkotikamisbruk, urinkateter/</w:t>
      </w:r>
      <w:proofErr w:type="spellStart"/>
      <w:r>
        <w:t>suprapubis</w:t>
      </w:r>
      <w:r w:rsidR="007D3A6F">
        <w:t>k</w:t>
      </w:r>
      <w:proofErr w:type="spellEnd"/>
      <w:r w:rsidR="007D3A6F">
        <w:t xml:space="preserve"> kateter/CVK, graviditet </w:t>
      </w:r>
      <w:r>
        <w:t xml:space="preserve">og 6 uker etter fødsel.  Risikofaktorer spesielt for barn: født før termin (≤ uke 37), komplisert fødsel. </w:t>
      </w:r>
    </w:p>
    <w:p w:rsidR="00877AF7" w:rsidRDefault="00877AF7" w:rsidP="00877AF7">
      <w:pPr>
        <w:pStyle w:val="Listeavsnitt"/>
      </w:pPr>
    </w:p>
    <w:p w:rsidR="00877AF7" w:rsidRDefault="00877AF7" w:rsidP="00877AF7">
      <w:pPr>
        <w:pStyle w:val="Listeavsnitt"/>
      </w:pPr>
      <w:r>
        <w:t xml:space="preserve">Vær nøye med sykehistorien: magesmerter etter en akutt fallskade (lite sannsynlig infeksjon) eller etter et ferieopphold i Thailand (sannsynlig infeksjon)? Infeksjonstilstander i nærmiljø («omgangssyke i barnehage», «hele familien har hatt streptokokker..») kan øke mistanke om infeksjonssykdommer. </w:t>
      </w:r>
    </w:p>
    <w:p w:rsidR="00877AF7" w:rsidRDefault="00877AF7" w:rsidP="00877AF7">
      <w:pPr>
        <w:pStyle w:val="Listeavsnitt"/>
      </w:pPr>
    </w:p>
    <w:p w:rsidR="00B54A34" w:rsidRDefault="00BD4910" w:rsidP="00AC62AD">
      <w:pPr>
        <w:pStyle w:val="Listeavsnitt"/>
        <w:numPr>
          <w:ilvl w:val="0"/>
          <w:numId w:val="1"/>
        </w:numPr>
        <w:spacing w:line="240" w:lineRule="auto"/>
      </w:pPr>
      <w:r>
        <w:t xml:space="preserve">Måling av blodtrykk </w:t>
      </w:r>
      <w:r w:rsidR="00E47D82">
        <w:t>ved</w:t>
      </w:r>
      <w:r>
        <w:t xml:space="preserve"> «mulig sepsis»</w:t>
      </w:r>
      <w:r w:rsidR="00593BA3">
        <w:t xml:space="preserve"> (voksen pasient)</w:t>
      </w:r>
      <w:r>
        <w:t>: dersom tiden og logistikken tillater det</w:t>
      </w:r>
      <w:r w:rsidR="00E47D82">
        <w:t>,</w:t>
      </w:r>
      <w:r>
        <w:t xml:space="preserve"> bør man vurdere pasientens systoliske blodtrykk</w:t>
      </w:r>
      <w:r w:rsidR="00593BA3">
        <w:t xml:space="preserve"> med måling</w:t>
      </w:r>
      <w:r>
        <w:t xml:space="preserve">. Ved stor pasientpågang kan man også vurdere perifer pulskvalitet (rolig, regelmessig og kraftig), hudstatus og kapillarfylling. </w:t>
      </w:r>
      <w:r w:rsidR="00FC572D">
        <w:t xml:space="preserve">Dersom perifer </w:t>
      </w:r>
      <w:proofErr w:type="spellStart"/>
      <w:r w:rsidR="00FC572D">
        <w:t>radialispuls</w:t>
      </w:r>
      <w:proofErr w:type="spellEnd"/>
      <w:r w:rsidR="00FC572D">
        <w:t xml:space="preserve"> er rolig og kraftig, huden er tørr og </w:t>
      </w:r>
      <w:r w:rsidR="00593BA3">
        <w:t>varm og kapillarfylling ≤ 2 sekunder kan man</w:t>
      </w:r>
      <w:r w:rsidR="00E47D82">
        <w:t xml:space="preserve"> anta at pasienten har </w:t>
      </w:r>
      <w:r w:rsidR="00593BA3">
        <w:t>klinisk</w:t>
      </w:r>
      <w:r w:rsidR="00E47D82">
        <w:t xml:space="preserve"> en</w:t>
      </w:r>
      <w:r w:rsidR="00593BA3">
        <w:t xml:space="preserve"> </w:t>
      </w:r>
      <w:r w:rsidR="00FC572D">
        <w:t>normal sirkulasjon</w:t>
      </w:r>
      <w:r w:rsidR="00E47D82">
        <w:t>.</w:t>
      </w:r>
      <w:r w:rsidR="00593BA3">
        <w:t xml:space="preserve"> Ved lav mistanke om sepsis</w:t>
      </w:r>
      <w:r w:rsidR="00B54A34">
        <w:t xml:space="preserve"> er dette tilstrekkelig. Ved</w:t>
      </w:r>
      <w:r w:rsidR="00593BA3">
        <w:t xml:space="preserve"> høy mistanke om</w:t>
      </w:r>
      <w:r w:rsidR="00B54A34">
        <w:t xml:space="preserve"> sepsis bør systolisk b</w:t>
      </w:r>
      <w:r w:rsidR="00A42207">
        <w:t>lodtrykk måles</w:t>
      </w:r>
      <w:r w:rsidR="00E47D82">
        <w:t xml:space="preserve"> og dokumenteres</w:t>
      </w:r>
      <w:r w:rsidR="00B54A34">
        <w:t>.</w:t>
      </w:r>
    </w:p>
    <w:p w:rsidR="00020C92" w:rsidRDefault="00020C92" w:rsidP="00020C92">
      <w:pPr>
        <w:spacing w:line="240" w:lineRule="auto"/>
      </w:pPr>
    </w:p>
    <w:p w:rsidR="00020C92" w:rsidRDefault="00E47D82" w:rsidP="00020C92">
      <w:pPr>
        <w:pStyle w:val="Listeavsnitt"/>
        <w:numPr>
          <w:ilvl w:val="0"/>
          <w:numId w:val="1"/>
        </w:numPr>
        <w:spacing w:line="240" w:lineRule="auto"/>
      </w:pPr>
      <w:r>
        <w:t>P</w:t>
      </w:r>
      <w:r w:rsidR="00020C92">
        <w:t>åvirk</w:t>
      </w:r>
      <w:r>
        <w:t>et bevissthet ved</w:t>
      </w:r>
      <w:r w:rsidR="00020C92">
        <w:t xml:space="preserve"> </w:t>
      </w:r>
      <w:r>
        <w:t>«</w:t>
      </w:r>
      <w:r w:rsidR="00020C92">
        <w:t>mulig sepsis</w:t>
      </w:r>
      <w:r>
        <w:t>»? En GCS på under 15 tilsvarer</w:t>
      </w:r>
      <w:r w:rsidR="00020C92">
        <w:t xml:space="preserve"> «påvirket bevissthet»</w:t>
      </w:r>
      <w:r>
        <w:t xml:space="preserve">. Det betyr at pasienter som </w:t>
      </w:r>
      <w:r w:rsidR="00020C92">
        <w:t>kun</w:t>
      </w:r>
      <w:r>
        <w:t xml:space="preserve"> er</w:t>
      </w:r>
      <w:r w:rsidR="00020C92">
        <w:t xml:space="preserve"> forvirret (for eksempel verbal respons «forvirret/desorientert» og dermed trekk av ett poeng men ellers normal motorisk respons og våkenhetsgrad/øyeåpning</w:t>
      </w:r>
      <w:r w:rsidR="00C2438C">
        <w:t>; GCS =14</w:t>
      </w:r>
      <w:r w:rsidR="00020C92">
        <w:t>) har «påvirket bevissthet».</w:t>
      </w:r>
    </w:p>
    <w:p w:rsidR="00AC62AD" w:rsidRDefault="00A42207" w:rsidP="00A42207">
      <w:pPr>
        <w:pStyle w:val="Listeavsnitt"/>
        <w:spacing w:line="240" w:lineRule="auto"/>
      </w:pPr>
      <w:r>
        <w:t xml:space="preserve">  </w:t>
      </w:r>
      <w:r w:rsidR="00B54A34">
        <w:t xml:space="preserve">   </w:t>
      </w:r>
      <w:r w:rsidR="00FC572D">
        <w:t xml:space="preserve"> </w:t>
      </w:r>
      <w:r w:rsidR="00BD4910">
        <w:t xml:space="preserve">  </w:t>
      </w:r>
    </w:p>
    <w:p w:rsidR="005755F7" w:rsidRDefault="00534364" w:rsidP="005755F7">
      <w:pPr>
        <w:pStyle w:val="Listeavsnitt"/>
        <w:numPr>
          <w:ilvl w:val="0"/>
          <w:numId w:val="1"/>
        </w:numPr>
        <w:spacing w:line="240" w:lineRule="auto"/>
      </w:pPr>
      <w:r>
        <w:t>Pediatrisk sepsis-skår</w:t>
      </w:r>
      <w:r w:rsidR="005755F7">
        <w:t>:</w:t>
      </w:r>
      <w:r w:rsidR="00C2438C">
        <w:t xml:space="preserve"> MTS/TTA ved «mulig sepsis» uttrykker at </w:t>
      </w:r>
      <w:r w:rsidR="00E31243">
        <w:t>«h</w:t>
      </w:r>
      <w:r w:rsidR="005755F7">
        <w:t>os barn bør aldersspesifikke fysiologiske verdier brukes for å avgjøre mulig sepsis». Vi har gått gjennom litteraturen og kontaktet pasientsikkerhetsprogrammet – sepsis – for råd.</w:t>
      </w:r>
      <w:r w:rsidR="00E31243">
        <w:t xml:space="preserve"> </w:t>
      </w:r>
      <w:r w:rsidR="005755F7">
        <w:t xml:space="preserve"> </w:t>
      </w:r>
      <w:r w:rsidR="00E31243">
        <w:t xml:space="preserve">Et forslag om aldersspesifikke fysiologiske verdier vedlegges in tabell 1. </w:t>
      </w:r>
      <w:r w:rsidR="005755F7">
        <w:t xml:space="preserve"> </w:t>
      </w:r>
    </w:p>
    <w:p w:rsidR="00696ADB" w:rsidRDefault="00C2438C" w:rsidP="00B855BB">
      <w:pPr>
        <w:spacing w:line="240" w:lineRule="auto"/>
      </w:pPr>
      <w:r>
        <w:t xml:space="preserve">Dokumentene </w:t>
      </w:r>
      <w:r w:rsidR="00322F3C">
        <w:t>som er</w:t>
      </w:r>
      <w:r w:rsidR="00696ADB">
        <w:t xml:space="preserve"> grunnlaget for </w:t>
      </w:r>
      <w:r>
        <w:t>en pediatrisk sepsis-skår</w:t>
      </w:r>
      <w:r w:rsidR="00964AE1">
        <w:t xml:space="preserve"> ved </w:t>
      </w:r>
      <w:r w:rsidR="00696ADB">
        <w:t>«mulig sepsis»:</w:t>
      </w:r>
    </w:p>
    <w:p w:rsidR="00B855BB" w:rsidRPr="00E0096D" w:rsidRDefault="0083045E" w:rsidP="00E0096D">
      <w:pPr>
        <w:pStyle w:val="Listeavsnitt"/>
        <w:numPr>
          <w:ilvl w:val="0"/>
          <w:numId w:val="2"/>
        </w:numPr>
        <w:spacing w:line="240" w:lineRule="auto"/>
        <w:rPr>
          <w:rStyle w:val="Hyperkobling"/>
          <w:color w:val="auto"/>
          <w:u w:val="none"/>
        </w:rPr>
      </w:pPr>
      <w:hyperlink r:id="rId6" w:history="1">
        <w:r w:rsidR="00B855BB" w:rsidRPr="00855A87">
          <w:rPr>
            <w:rStyle w:val="Hyperkobling"/>
          </w:rPr>
          <w:t>https://www.nice.org.uk/guidance/ng51/resources/algorithm-for-managing-suspected-sepsis-in-children-aged-511-years-in-an-acute-hospital-setting-91853485525</w:t>
        </w:r>
      </w:hyperlink>
    </w:p>
    <w:p w:rsidR="00E0096D" w:rsidRPr="00020C92" w:rsidRDefault="00E0096D" w:rsidP="00E0096D">
      <w:pPr>
        <w:pStyle w:val="Listeavsnitt"/>
        <w:rPr>
          <w:sz w:val="16"/>
          <w:szCs w:val="16"/>
        </w:rPr>
      </w:pPr>
    </w:p>
    <w:p w:rsidR="00E0096D" w:rsidRDefault="00E0096D" w:rsidP="00E0096D">
      <w:pPr>
        <w:pStyle w:val="Listeavsnitt"/>
        <w:spacing w:line="240" w:lineRule="auto"/>
      </w:pPr>
      <w:r>
        <w:t>Det komplette grunnlagsdokumentet for NICE-guidelines er følgende:</w:t>
      </w:r>
    </w:p>
    <w:p w:rsidR="00696ADB" w:rsidRDefault="0083045E" w:rsidP="00E0096D">
      <w:pPr>
        <w:pStyle w:val="Listeavsnitt"/>
        <w:numPr>
          <w:ilvl w:val="0"/>
          <w:numId w:val="2"/>
        </w:numPr>
        <w:spacing w:line="240" w:lineRule="auto"/>
      </w:pPr>
      <w:hyperlink r:id="rId7" w:history="1">
        <w:r w:rsidR="00B855BB" w:rsidRPr="00855A87">
          <w:rPr>
            <w:rStyle w:val="Hyperkobling"/>
          </w:rPr>
          <w:t>https://www.nice.org.uk/guidance/ng51/evidence/full-guideline-2551523297</w:t>
        </w:r>
      </w:hyperlink>
    </w:p>
    <w:p w:rsidR="007D3A6F" w:rsidRDefault="007D3A6F" w:rsidP="00B855BB">
      <w:pPr>
        <w:spacing w:line="240" w:lineRule="auto"/>
      </w:pPr>
    </w:p>
    <w:p w:rsidR="00F95ADE" w:rsidRDefault="00DA3E8D" w:rsidP="00B855BB">
      <w:pPr>
        <w:spacing w:line="240" w:lineRule="auto"/>
      </w:pPr>
      <w:r>
        <w:t>Tabell 1</w:t>
      </w:r>
      <w:r w:rsidR="00B3091E">
        <w:t>: Mulig sepsis = infeksjon eller infeksjonsmistanke + positiv</w:t>
      </w:r>
      <w:r w:rsidR="00D950CA">
        <w:t xml:space="preserve"> utslag</w:t>
      </w:r>
      <w:r w:rsidR="00551E26">
        <w:t xml:space="preserve"> på ett av kriteriene i tabellen</w:t>
      </w:r>
    </w:p>
    <w:tbl>
      <w:tblPr>
        <w:tblStyle w:val="Tabellrutenett"/>
        <w:tblW w:w="15860" w:type="dxa"/>
        <w:tblLayout w:type="fixed"/>
        <w:tblLook w:val="04A0" w:firstRow="1" w:lastRow="0" w:firstColumn="1" w:lastColumn="0" w:noHBand="0" w:noVBand="1"/>
      </w:tblPr>
      <w:tblGrid>
        <w:gridCol w:w="2106"/>
        <w:gridCol w:w="1687"/>
        <w:gridCol w:w="1985"/>
        <w:gridCol w:w="1843"/>
        <w:gridCol w:w="1843"/>
        <w:gridCol w:w="3544"/>
        <w:gridCol w:w="2852"/>
      </w:tblGrid>
      <w:tr w:rsidR="00232DBD" w:rsidTr="00DA3E8D">
        <w:tc>
          <w:tcPr>
            <w:tcW w:w="2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7B8" w:rsidRPr="00DA3E8D" w:rsidRDefault="00DA3E8D" w:rsidP="00001E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Alder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7B8" w:rsidRPr="00DA3E8D" w:rsidRDefault="006207B8" w:rsidP="00001EEA">
            <w:pPr>
              <w:jc w:val="center"/>
              <w:rPr>
                <w:b/>
                <w:sz w:val="24"/>
                <w:szCs w:val="24"/>
              </w:rPr>
            </w:pPr>
            <w:r w:rsidRPr="00DA3E8D">
              <w:rPr>
                <w:b/>
                <w:sz w:val="24"/>
                <w:szCs w:val="24"/>
              </w:rPr>
              <w:t>Saturasjon</w:t>
            </w:r>
          </w:p>
          <w:p w:rsidR="006207B8" w:rsidRPr="00DA3E8D" w:rsidRDefault="006207B8" w:rsidP="00001EEA">
            <w:pPr>
              <w:jc w:val="center"/>
              <w:rPr>
                <w:b/>
                <w:sz w:val="24"/>
                <w:szCs w:val="24"/>
              </w:rPr>
            </w:pPr>
            <w:r w:rsidRPr="00DA3E8D">
              <w:rPr>
                <w:b/>
                <w:sz w:val="24"/>
                <w:szCs w:val="24"/>
              </w:rPr>
              <w:t>(SpO2)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7B8" w:rsidRPr="00DA3E8D" w:rsidRDefault="006207B8" w:rsidP="00001EEA">
            <w:pPr>
              <w:jc w:val="center"/>
              <w:rPr>
                <w:b/>
                <w:sz w:val="24"/>
                <w:szCs w:val="24"/>
              </w:rPr>
            </w:pPr>
            <w:r w:rsidRPr="00DA3E8D">
              <w:rPr>
                <w:b/>
                <w:sz w:val="24"/>
                <w:szCs w:val="24"/>
              </w:rPr>
              <w:t>Resp.-frekvens</w:t>
            </w:r>
          </w:p>
          <w:p w:rsidR="006207B8" w:rsidRPr="00DA3E8D" w:rsidRDefault="006207B8" w:rsidP="00001EEA">
            <w:pPr>
              <w:jc w:val="center"/>
              <w:rPr>
                <w:b/>
                <w:sz w:val="24"/>
                <w:szCs w:val="24"/>
              </w:rPr>
            </w:pPr>
            <w:r w:rsidRPr="00DA3E8D">
              <w:rPr>
                <w:b/>
                <w:sz w:val="24"/>
                <w:szCs w:val="24"/>
              </w:rPr>
              <w:t>/min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207B8" w:rsidRPr="00DA3E8D" w:rsidRDefault="006207B8" w:rsidP="006E37C1">
            <w:pPr>
              <w:jc w:val="center"/>
              <w:rPr>
                <w:b/>
                <w:sz w:val="24"/>
                <w:szCs w:val="24"/>
              </w:rPr>
            </w:pPr>
            <w:r w:rsidRPr="00DA3E8D">
              <w:rPr>
                <w:b/>
                <w:sz w:val="24"/>
                <w:szCs w:val="24"/>
              </w:rPr>
              <w:t>Pulsfrekvens</w:t>
            </w:r>
          </w:p>
          <w:p w:rsidR="006207B8" w:rsidRPr="00DA3E8D" w:rsidRDefault="006207B8" w:rsidP="006E37C1">
            <w:pPr>
              <w:jc w:val="center"/>
              <w:rPr>
                <w:b/>
                <w:sz w:val="24"/>
                <w:szCs w:val="24"/>
              </w:rPr>
            </w:pPr>
            <w:r w:rsidRPr="00DA3E8D">
              <w:rPr>
                <w:b/>
                <w:sz w:val="24"/>
                <w:szCs w:val="24"/>
              </w:rPr>
              <w:t>/ min.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7B8" w:rsidRPr="00DA3E8D" w:rsidRDefault="00CE3A14" w:rsidP="00CE3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Sirkulasjon (</w:t>
            </w:r>
            <w:r w:rsidR="00232DBD" w:rsidRPr="00DA3E8D">
              <w:rPr>
                <w:b/>
                <w:sz w:val="24"/>
                <w:szCs w:val="24"/>
              </w:rPr>
              <w:t>hudstatus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kap</w:t>
            </w:r>
            <w:proofErr w:type="spellEnd"/>
            <w:r>
              <w:rPr>
                <w:b/>
                <w:sz w:val="24"/>
                <w:szCs w:val="24"/>
              </w:rPr>
              <w:t>.-fylling/urinproduksjon/</w:t>
            </w:r>
            <w:proofErr w:type="spellStart"/>
            <w:r>
              <w:rPr>
                <w:b/>
                <w:sz w:val="24"/>
                <w:szCs w:val="24"/>
              </w:rPr>
              <w:t>syst</w:t>
            </w:r>
            <w:proofErr w:type="spellEnd"/>
            <w:r>
              <w:rPr>
                <w:b/>
                <w:sz w:val="24"/>
                <w:szCs w:val="24"/>
              </w:rPr>
              <w:t>.-BT)</w:t>
            </w:r>
            <w:r w:rsidR="006207B8" w:rsidRPr="00DA3E8D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7B8" w:rsidRPr="00DA3E8D" w:rsidRDefault="006207B8" w:rsidP="00E0096D">
            <w:pPr>
              <w:jc w:val="center"/>
              <w:rPr>
                <w:b/>
                <w:sz w:val="24"/>
                <w:szCs w:val="24"/>
              </w:rPr>
            </w:pPr>
            <w:r w:rsidRPr="00DA3E8D">
              <w:rPr>
                <w:b/>
                <w:sz w:val="24"/>
                <w:szCs w:val="24"/>
              </w:rPr>
              <w:t>Respons/våkenhetsgrad</w:t>
            </w:r>
          </w:p>
          <w:p w:rsidR="006207B8" w:rsidRPr="00DA3E8D" w:rsidRDefault="006207B8" w:rsidP="00E0096D">
            <w:pPr>
              <w:jc w:val="center"/>
              <w:rPr>
                <w:b/>
                <w:sz w:val="24"/>
                <w:szCs w:val="24"/>
              </w:rPr>
            </w:pPr>
            <w:r w:rsidRPr="00DA3E8D">
              <w:rPr>
                <w:b/>
                <w:sz w:val="24"/>
                <w:szCs w:val="24"/>
              </w:rPr>
              <w:t>(aldersavhengig)</w:t>
            </w:r>
          </w:p>
        </w:tc>
      </w:tr>
      <w:tr w:rsidR="00DA3E8D" w:rsidTr="00DA3E8D">
        <w:trPr>
          <w:trHeight w:val="469"/>
        </w:trPr>
        <w:tc>
          <w:tcPr>
            <w:tcW w:w="21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0F5C" w:rsidRDefault="00CF0F5C" w:rsidP="00B855BB"/>
        </w:tc>
        <w:tc>
          <w:tcPr>
            <w:tcW w:w="1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0F5C" w:rsidRPr="003A0EED" w:rsidRDefault="00CF0F5C" w:rsidP="003A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0F5C" w:rsidRDefault="00CF0F5C" w:rsidP="00B855BB"/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0F5C" w:rsidRPr="00001EEA" w:rsidRDefault="00CF0F5C" w:rsidP="006E37C1">
            <w:pPr>
              <w:jc w:val="center"/>
              <w:rPr>
                <w:b/>
              </w:rPr>
            </w:pPr>
            <w:proofErr w:type="spellStart"/>
            <w:r w:rsidRPr="00001EEA">
              <w:rPr>
                <w:b/>
              </w:rPr>
              <w:t>Takykardi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0F5C" w:rsidRPr="00001EEA" w:rsidRDefault="00CF0F5C" w:rsidP="006E37C1">
            <w:pPr>
              <w:jc w:val="center"/>
              <w:rPr>
                <w:b/>
              </w:rPr>
            </w:pPr>
            <w:r w:rsidRPr="00001EEA">
              <w:rPr>
                <w:b/>
              </w:rPr>
              <w:t>Bradykardi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0F5C" w:rsidRDefault="00CF0F5C" w:rsidP="00B855BB"/>
        </w:tc>
        <w:tc>
          <w:tcPr>
            <w:tcW w:w="2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0F5C" w:rsidRDefault="00CF0F5C" w:rsidP="00B855BB"/>
        </w:tc>
      </w:tr>
      <w:tr w:rsidR="00DA3E8D" w:rsidTr="00DA3E8D">
        <w:trPr>
          <w:trHeight w:val="510"/>
        </w:trPr>
        <w:tc>
          <w:tcPr>
            <w:tcW w:w="2106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001EEA" w:rsidRDefault="00A620B5" w:rsidP="00A62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12 mnd.</w:t>
            </w:r>
          </w:p>
        </w:tc>
        <w:tc>
          <w:tcPr>
            <w:tcW w:w="1687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3A0EED" w:rsidRDefault="00CF0F5C" w:rsidP="003A0EED">
            <w:pPr>
              <w:jc w:val="center"/>
              <w:rPr>
                <w:sz w:val="24"/>
                <w:szCs w:val="24"/>
              </w:rPr>
            </w:pPr>
            <w:r w:rsidRPr="003A0EED">
              <w:rPr>
                <w:sz w:val="24"/>
                <w:szCs w:val="24"/>
              </w:rPr>
              <w:t>≤91%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001EEA" w:rsidRDefault="00A620B5" w:rsidP="00001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&gt;50</w:t>
            </w:r>
            <w:r w:rsidR="006038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038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001EEA" w:rsidRDefault="00CF0F5C" w:rsidP="00A620B5">
            <w:pPr>
              <w:jc w:val="center"/>
              <w:rPr>
                <w:sz w:val="24"/>
                <w:szCs w:val="24"/>
              </w:rPr>
            </w:pPr>
            <w:r w:rsidRPr="00001EEA">
              <w:rPr>
                <w:sz w:val="24"/>
                <w:szCs w:val="24"/>
              </w:rPr>
              <w:t>&gt;</w:t>
            </w:r>
            <w:r w:rsidR="00A620B5">
              <w:rPr>
                <w:sz w:val="24"/>
                <w:szCs w:val="24"/>
              </w:rPr>
              <w:t xml:space="preserve">150 </w:t>
            </w:r>
            <w:r w:rsidR="00CE3A14">
              <w:rPr>
                <w:sz w:val="24"/>
                <w:szCs w:val="24"/>
              </w:rPr>
              <w:t>-</w:t>
            </w:r>
            <w:r w:rsidR="00A620B5">
              <w:rPr>
                <w:sz w:val="24"/>
                <w:szCs w:val="24"/>
              </w:rPr>
              <w:t xml:space="preserve"> 160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001EEA" w:rsidRDefault="005169DA" w:rsidP="006E3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&lt;60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DA3E8D" w:rsidRDefault="00232DBD" w:rsidP="00DA3E8D">
            <w:pPr>
              <w:jc w:val="center"/>
              <w:rPr>
                <w:sz w:val="20"/>
                <w:szCs w:val="20"/>
              </w:rPr>
            </w:pPr>
            <w:r w:rsidRPr="00DA3E8D">
              <w:rPr>
                <w:sz w:val="20"/>
                <w:szCs w:val="20"/>
              </w:rPr>
              <w:t>Kald</w:t>
            </w:r>
            <w:r w:rsidR="00DA3E8D">
              <w:rPr>
                <w:sz w:val="20"/>
                <w:szCs w:val="20"/>
              </w:rPr>
              <w:t>/</w:t>
            </w:r>
            <w:r w:rsidRPr="00DA3E8D">
              <w:rPr>
                <w:sz w:val="20"/>
                <w:szCs w:val="20"/>
              </w:rPr>
              <w:t>klam hud</w:t>
            </w:r>
            <w:r w:rsidR="00DA3E8D">
              <w:rPr>
                <w:sz w:val="20"/>
                <w:szCs w:val="20"/>
              </w:rPr>
              <w:t xml:space="preserve"> eller </w:t>
            </w:r>
            <w:proofErr w:type="spellStart"/>
            <w:r w:rsidRPr="00DA3E8D">
              <w:rPr>
                <w:sz w:val="20"/>
                <w:szCs w:val="20"/>
              </w:rPr>
              <w:t>kap</w:t>
            </w:r>
            <w:proofErr w:type="spellEnd"/>
            <w:r w:rsidRPr="00DA3E8D">
              <w:rPr>
                <w:sz w:val="20"/>
                <w:szCs w:val="20"/>
              </w:rPr>
              <w:t>.-fylling ≥ 3 sek.</w:t>
            </w:r>
          </w:p>
        </w:tc>
        <w:tc>
          <w:tcPr>
            <w:tcW w:w="2852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DA3E8D" w:rsidRDefault="00CF0F5C" w:rsidP="00001EEA">
            <w:pPr>
              <w:jc w:val="center"/>
              <w:rPr>
                <w:sz w:val="20"/>
                <w:szCs w:val="20"/>
              </w:rPr>
            </w:pPr>
            <w:r w:rsidRPr="00DA3E8D">
              <w:rPr>
                <w:sz w:val="20"/>
                <w:szCs w:val="20"/>
              </w:rPr>
              <w:t>Redusert aktivitet og respons</w:t>
            </w:r>
          </w:p>
        </w:tc>
      </w:tr>
      <w:tr w:rsidR="00DA3E8D" w:rsidTr="00DA3E8D">
        <w:trPr>
          <w:trHeight w:val="510"/>
        </w:trPr>
        <w:tc>
          <w:tcPr>
            <w:tcW w:w="2106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001EEA" w:rsidRDefault="00A620B5" w:rsidP="0062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mnd. – 2 år</w:t>
            </w:r>
          </w:p>
        </w:tc>
        <w:tc>
          <w:tcPr>
            <w:tcW w:w="1687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3A0EED" w:rsidRDefault="00CF0F5C" w:rsidP="003A0EED">
            <w:pPr>
              <w:jc w:val="center"/>
              <w:rPr>
                <w:sz w:val="24"/>
                <w:szCs w:val="24"/>
              </w:rPr>
            </w:pPr>
            <w:r w:rsidRPr="003A0EED">
              <w:rPr>
                <w:sz w:val="24"/>
                <w:szCs w:val="24"/>
              </w:rPr>
              <w:t>≤91%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001EEA" w:rsidRDefault="00A620B5" w:rsidP="00001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&gt;40</w:t>
            </w:r>
            <w:r w:rsidR="006038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038D8">
              <w:rPr>
                <w:sz w:val="24"/>
                <w:szCs w:val="24"/>
              </w:rPr>
              <w:t xml:space="preserve"> </w:t>
            </w:r>
            <w:r w:rsidR="00CF0F5C" w:rsidRPr="00001EEA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001EEA" w:rsidRDefault="00CF0F5C" w:rsidP="00A620B5">
            <w:pPr>
              <w:jc w:val="center"/>
              <w:rPr>
                <w:sz w:val="24"/>
                <w:szCs w:val="24"/>
              </w:rPr>
            </w:pPr>
            <w:r w:rsidRPr="00001EEA">
              <w:rPr>
                <w:sz w:val="24"/>
                <w:szCs w:val="24"/>
              </w:rPr>
              <w:t>&gt;</w:t>
            </w:r>
            <w:r w:rsidR="00A620B5">
              <w:rPr>
                <w:sz w:val="24"/>
                <w:szCs w:val="24"/>
              </w:rPr>
              <w:t>140 - 150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001EEA" w:rsidRDefault="005169DA" w:rsidP="006E3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&lt;60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DA3E8D" w:rsidRDefault="00232DBD" w:rsidP="00001EEA">
            <w:pPr>
              <w:jc w:val="center"/>
              <w:rPr>
                <w:sz w:val="20"/>
                <w:szCs w:val="20"/>
              </w:rPr>
            </w:pPr>
            <w:r w:rsidRPr="00DA3E8D">
              <w:rPr>
                <w:sz w:val="20"/>
                <w:szCs w:val="20"/>
              </w:rPr>
              <w:t>Kald/</w:t>
            </w:r>
            <w:r w:rsidR="00DA3E8D">
              <w:rPr>
                <w:sz w:val="20"/>
                <w:szCs w:val="20"/>
              </w:rPr>
              <w:t>klam hud eller</w:t>
            </w:r>
            <w:r w:rsidRPr="00DA3E8D">
              <w:rPr>
                <w:sz w:val="20"/>
                <w:szCs w:val="20"/>
              </w:rPr>
              <w:t xml:space="preserve"> </w:t>
            </w:r>
            <w:proofErr w:type="spellStart"/>
            <w:r w:rsidRPr="00DA3E8D">
              <w:rPr>
                <w:sz w:val="20"/>
                <w:szCs w:val="20"/>
              </w:rPr>
              <w:t>kap</w:t>
            </w:r>
            <w:proofErr w:type="spellEnd"/>
            <w:r w:rsidRPr="00DA3E8D">
              <w:rPr>
                <w:sz w:val="20"/>
                <w:szCs w:val="20"/>
              </w:rPr>
              <w:t>.-fylling ≥ 3 sek.</w:t>
            </w:r>
          </w:p>
        </w:tc>
        <w:tc>
          <w:tcPr>
            <w:tcW w:w="2852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DA3E8D" w:rsidRDefault="00CF0F5C" w:rsidP="00001EEA">
            <w:pPr>
              <w:jc w:val="center"/>
              <w:rPr>
                <w:sz w:val="20"/>
                <w:szCs w:val="20"/>
              </w:rPr>
            </w:pPr>
            <w:r w:rsidRPr="00DA3E8D">
              <w:rPr>
                <w:sz w:val="20"/>
                <w:szCs w:val="20"/>
              </w:rPr>
              <w:t>Redusert aktivitet og respons</w:t>
            </w:r>
          </w:p>
        </w:tc>
      </w:tr>
      <w:tr w:rsidR="00DA3E8D" w:rsidTr="00DA3E8D">
        <w:trPr>
          <w:trHeight w:val="510"/>
        </w:trPr>
        <w:tc>
          <w:tcPr>
            <w:tcW w:w="2106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001EEA" w:rsidRDefault="00CF0F5C" w:rsidP="00B855BB">
            <w:pPr>
              <w:rPr>
                <w:sz w:val="24"/>
                <w:szCs w:val="24"/>
              </w:rPr>
            </w:pPr>
            <w:r w:rsidRPr="00001EEA">
              <w:rPr>
                <w:sz w:val="24"/>
                <w:szCs w:val="24"/>
              </w:rPr>
              <w:t>3 – 4 år</w:t>
            </w:r>
          </w:p>
        </w:tc>
        <w:tc>
          <w:tcPr>
            <w:tcW w:w="1687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3A0EED" w:rsidRDefault="00CF0F5C" w:rsidP="003A0EED">
            <w:pPr>
              <w:jc w:val="center"/>
              <w:rPr>
                <w:sz w:val="24"/>
                <w:szCs w:val="24"/>
              </w:rPr>
            </w:pPr>
            <w:r w:rsidRPr="003A0EED">
              <w:rPr>
                <w:sz w:val="24"/>
                <w:szCs w:val="24"/>
              </w:rPr>
              <w:t>≤91%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001EEA" w:rsidRDefault="00EE075B" w:rsidP="00001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="00CF0F5C" w:rsidRPr="00001EEA">
              <w:rPr>
                <w:sz w:val="24"/>
                <w:szCs w:val="24"/>
              </w:rPr>
              <w:t>35</w:t>
            </w:r>
            <w:r w:rsidR="006038D8">
              <w:rPr>
                <w:sz w:val="24"/>
                <w:szCs w:val="24"/>
              </w:rPr>
              <w:t xml:space="preserve"> </w:t>
            </w:r>
            <w:r w:rsidR="005169DA">
              <w:rPr>
                <w:sz w:val="24"/>
                <w:szCs w:val="24"/>
              </w:rPr>
              <w:t>-</w:t>
            </w:r>
            <w:r w:rsidR="006038D8">
              <w:rPr>
                <w:sz w:val="24"/>
                <w:szCs w:val="24"/>
              </w:rPr>
              <w:t xml:space="preserve"> </w:t>
            </w:r>
            <w:r w:rsidR="005169DA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001EEA" w:rsidRDefault="00EE075B" w:rsidP="006E3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="00CF0F5C" w:rsidRPr="00001EEA">
              <w:rPr>
                <w:sz w:val="24"/>
                <w:szCs w:val="24"/>
              </w:rPr>
              <w:t>130</w:t>
            </w:r>
            <w:r w:rsidR="005169DA">
              <w:rPr>
                <w:sz w:val="24"/>
                <w:szCs w:val="24"/>
              </w:rPr>
              <w:t xml:space="preserve"> - 140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001EEA" w:rsidRDefault="00CF0F5C" w:rsidP="006E37C1">
            <w:pPr>
              <w:jc w:val="center"/>
              <w:rPr>
                <w:sz w:val="24"/>
                <w:szCs w:val="24"/>
              </w:rPr>
            </w:pPr>
            <w:r w:rsidRPr="00001EEA">
              <w:rPr>
                <w:sz w:val="24"/>
                <w:szCs w:val="24"/>
              </w:rPr>
              <w:t>&lt;60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CE3A14" w:rsidRDefault="00CE3A14" w:rsidP="00001EEA">
            <w:pPr>
              <w:jc w:val="center"/>
              <w:rPr>
                <w:sz w:val="20"/>
                <w:szCs w:val="20"/>
              </w:rPr>
            </w:pPr>
            <w:r w:rsidRPr="00CE3A14">
              <w:rPr>
                <w:sz w:val="20"/>
                <w:szCs w:val="20"/>
              </w:rPr>
              <w:t xml:space="preserve">Kald/klam hud eller </w:t>
            </w:r>
            <w:proofErr w:type="spellStart"/>
            <w:r w:rsidRPr="00CE3A14">
              <w:rPr>
                <w:sz w:val="20"/>
                <w:szCs w:val="20"/>
              </w:rPr>
              <w:t>kap</w:t>
            </w:r>
            <w:proofErr w:type="spellEnd"/>
            <w:r w:rsidRPr="00CE3A14">
              <w:rPr>
                <w:sz w:val="20"/>
                <w:szCs w:val="20"/>
              </w:rPr>
              <w:t>.-fylling ≥ 3 sek.</w:t>
            </w:r>
          </w:p>
        </w:tc>
        <w:tc>
          <w:tcPr>
            <w:tcW w:w="2852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DA3E8D" w:rsidRDefault="00CF0F5C" w:rsidP="00001EEA">
            <w:pPr>
              <w:jc w:val="center"/>
              <w:rPr>
                <w:sz w:val="20"/>
                <w:szCs w:val="20"/>
              </w:rPr>
            </w:pPr>
            <w:r w:rsidRPr="00DA3E8D">
              <w:rPr>
                <w:sz w:val="20"/>
                <w:szCs w:val="20"/>
              </w:rPr>
              <w:t>Redusert aktivitet og respons</w:t>
            </w:r>
          </w:p>
        </w:tc>
      </w:tr>
      <w:tr w:rsidR="00DA3E8D" w:rsidTr="00DA3E8D">
        <w:trPr>
          <w:trHeight w:val="510"/>
        </w:trPr>
        <w:tc>
          <w:tcPr>
            <w:tcW w:w="2106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001EEA" w:rsidRDefault="005169DA" w:rsidP="00B8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år</w:t>
            </w:r>
          </w:p>
        </w:tc>
        <w:tc>
          <w:tcPr>
            <w:tcW w:w="1687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3A0EED" w:rsidRDefault="00CF0F5C" w:rsidP="003A0EED">
            <w:pPr>
              <w:jc w:val="center"/>
              <w:rPr>
                <w:sz w:val="24"/>
                <w:szCs w:val="24"/>
              </w:rPr>
            </w:pPr>
            <w:r w:rsidRPr="003A0EE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92</w:t>
            </w:r>
            <w:r w:rsidRPr="003A0EED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001EEA" w:rsidRDefault="00EE075B" w:rsidP="00001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="00CE3A14">
              <w:rPr>
                <w:sz w:val="24"/>
                <w:szCs w:val="24"/>
              </w:rPr>
              <w:t>26</w:t>
            </w:r>
            <w:r w:rsidR="006038D8">
              <w:rPr>
                <w:sz w:val="24"/>
                <w:szCs w:val="24"/>
              </w:rPr>
              <w:t xml:space="preserve"> </w:t>
            </w:r>
            <w:r w:rsidR="00CE3A14">
              <w:rPr>
                <w:sz w:val="24"/>
                <w:szCs w:val="24"/>
              </w:rPr>
              <w:t>-</w:t>
            </w:r>
            <w:r w:rsidR="006038D8">
              <w:rPr>
                <w:sz w:val="24"/>
                <w:szCs w:val="24"/>
              </w:rPr>
              <w:t xml:space="preserve"> </w:t>
            </w:r>
            <w:r w:rsidR="00CE3A14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001EEA" w:rsidRDefault="00EE075B" w:rsidP="006E3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="00CE3A14">
              <w:rPr>
                <w:sz w:val="24"/>
                <w:szCs w:val="24"/>
              </w:rPr>
              <w:t>120 -</w:t>
            </w:r>
            <w:r w:rsidR="00CF0F5C" w:rsidRPr="00001EEA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001EEA" w:rsidRDefault="00CF0F5C" w:rsidP="006E37C1">
            <w:pPr>
              <w:jc w:val="center"/>
              <w:rPr>
                <w:sz w:val="24"/>
                <w:szCs w:val="24"/>
              </w:rPr>
            </w:pPr>
            <w:r w:rsidRPr="00001EEA">
              <w:rPr>
                <w:sz w:val="24"/>
                <w:szCs w:val="24"/>
              </w:rPr>
              <w:t>&lt;60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001EEA" w:rsidRDefault="00CE3A14" w:rsidP="00001EEA">
            <w:pPr>
              <w:jc w:val="center"/>
              <w:rPr>
                <w:sz w:val="24"/>
                <w:szCs w:val="24"/>
              </w:rPr>
            </w:pPr>
            <w:r w:rsidRPr="00CE3A14">
              <w:rPr>
                <w:sz w:val="20"/>
                <w:szCs w:val="20"/>
              </w:rPr>
              <w:t xml:space="preserve">Kald/klam hud eller </w:t>
            </w:r>
            <w:proofErr w:type="spellStart"/>
            <w:r w:rsidRPr="00CE3A14">
              <w:rPr>
                <w:sz w:val="20"/>
                <w:szCs w:val="20"/>
              </w:rPr>
              <w:t>kap</w:t>
            </w:r>
            <w:proofErr w:type="spellEnd"/>
            <w:r w:rsidRPr="00CE3A14">
              <w:rPr>
                <w:sz w:val="20"/>
                <w:szCs w:val="20"/>
              </w:rPr>
              <w:t>.-fylling ≥ 3 sek</w:t>
            </w:r>
          </w:p>
        </w:tc>
        <w:tc>
          <w:tcPr>
            <w:tcW w:w="2852" w:type="dxa"/>
            <w:tcBorders>
              <w:left w:val="single" w:sz="18" w:space="0" w:color="auto"/>
              <w:right w:val="single" w:sz="18" w:space="0" w:color="auto"/>
            </w:tcBorders>
          </w:tcPr>
          <w:p w:rsidR="00CF0F5C" w:rsidRPr="00DA3E8D" w:rsidRDefault="00CF0F5C" w:rsidP="00001EEA">
            <w:pPr>
              <w:jc w:val="center"/>
              <w:rPr>
                <w:sz w:val="20"/>
                <w:szCs w:val="20"/>
              </w:rPr>
            </w:pPr>
            <w:r w:rsidRPr="00DA3E8D">
              <w:rPr>
                <w:sz w:val="20"/>
                <w:szCs w:val="20"/>
              </w:rPr>
              <w:t>Redusert aktivitet og respons</w:t>
            </w:r>
          </w:p>
        </w:tc>
      </w:tr>
      <w:tr w:rsidR="005169DA" w:rsidTr="00DA3E8D">
        <w:trPr>
          <w:trHeight w:val="510"/>
        </w:trPr>
        <w:tc>
          <w:tcPr>
            <w:tcW w:w="2106" w:type="dxa"/>
            <w:tcBorders>
              <w:left w:val="single" w:sz="18" w:space="0" w:color="auto"/>
              <w:right w:val="single" w:sz="18" w:space="0" w:color="auto"/>
            </w:tcBorders>
          </w:tcPr>
          <w:p w:rsidR="005169DA" w:rsidRDefault="00CE3A14" w:rsidP="00B8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7år</w:t>
            </w:r>
          </w:p>
        </w:tc>
        <w:tc>
          <w:tcPr>
            <w:tcW w:w="1687" w:type="dxa"/>
            <w:tcBorders>
              <w:left w:val="single" w:sz="18" w:space="0" w:color="auto"/>
              <w:right w:val="single" w:sz="18" w:space="0" w:color="auto"/>
            </w:tcBorders>
          </w:tcPr>
          <w:p w:rsidR="005169DA" w:rsidRPr="003A0EED" w:rsidRDefault="00CE3A14" w:rsidP="003A0EED">
            <w:pPr>
              <w:jc w:val="center"/>
              <w:rPr>
                <w:sz w:val="24"/>
                <w:szCs w:val="24"/>
              </w:rPr>
            </w:pPr>
            <w:r w:rsidRPr="00CE3A14">
              <w:rPr>
                <w:sz w:val="24"/>
                <w:szCs w:val="24"/>
              </w:rPr>
              <w:t>≤92%**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169DA" w:rsidRDefault="00CE3A14" w:rsidP="00001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&gt;24</w:t>
            </w:r>
            <w:r w:rsidR="006038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038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169DA" w:rsidRDefault="00CE3A14" w:rsidP="006E3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&gt;110 - 120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169DA" w:rsidRPr="00001EEA" w:rsidRDefault="00CE3A14" w:rsidP="006E37C1">
            <w:pPr>
              <w:jc w:val="center"/>
              <w:rPr>
                <w:sz w:val="24"/>
                <w:szCs w:val="24"/>
              </w:rPr>
            </w:pPr>
            <w:r w:rsidRPr="00001EEA">
              <w:rPr>
                <w:sz w:val="24"/>
                <w:szCs w:val="24"/>
              </w:rPr>
              <w:t>&lt;60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5169DA" w:rsidRPr="00001EEA" w:rsidRDefault="00CE3A14" w:rsidP="00001EEA">
            <w:pPr>
              <w:jc w:val="center"/>
              <w:rPr>
                <w:sz w:val="24"/>
                <w:szCs w:val="24"/>
              </w:rPr>
            </w:pPr>
            <w:r w:rsidRPr="00CE3A14">
              <w:rPr>
                <w:sz w:val="20"/>
                <w:szCs w:val="20"/>
              </w:rPr>
              <w:t xml:space="preserve">Kald/klam hud eller </w:t>
            </w:r>
            <w:proofErr w:type="spellStart"/>
            <w:r w:rsidRPr="00CE3A14">
              <w:rPr>
                <w:sz w:val="20"/>
                <w:szCs w:val="20"/>
              </w:rPr>
              <w:t>kap</w:t>
            </w:r>
            <w:proofErr w:type="spellEnd"/>
            <w:r w:rsidRPr="00CE3A14">
              <w:rPr>
                <w:sz w:val="20"/>
                <w:szCs w:val="20"/>
              </w:rPr>
              <w:t>.-fylling ≥ 3 sek</w:t>
            </w:r>
          </w:p>
        </w:tc>
        <w:tc>
          <w:tcPr>
            <w:tcW w:w="2852" w:type="dxa"/>
            <w:tcBorders>
              <w:left w:val="single" w:sz="18" w:space="0" w:color="auto"/>
              <w:right w:val="single" w:sz="18" w:space="0" w:color="auto"/>
            </w:tcBorders>
          </w:tcPr>
          <w:p w:rsidR="005169DA" w:rsidRPr="00DA3E8D" w:rsidRDefault="00CE3A14" w:rsidP="00001EEA">
            <w:pPr>
              <w:jc w:val="center"/>
              <w:rPr>
                <w:sz w:val="20"/>
                <w:szCs w:val="20"/>
              </w:rPr>
            </w:pPr>
            <w:r w:rsidRPr="00DA3E8D">
              <w:rPr>
                <w:sz w:val="20"/>
                <w:szCs w:val="20"/>
              </w:rPr>
              <w:t>Redusert aktivitet og respons</w:t>
            </w:r>
          </w:p>
        </w:tc>
      </w:tr>
      <w:tr w:rsidR="00DA3E8D" w:rsidTr="00DA3E8D">
        <w:trPr>
          <w:trHeight w:val="510"/>
        </w:trPr>
        <w:tc>
          <w:tcPr>
            <w:tcW w:w="21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0F5C" w:rsidRPr="00001EEA" w:rsidRDefault="00DA3E8D" w:rsidP="00B8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  <w:r w:rsidR="00CF0F5C" w:rsidRPr="00001EEA">
              <w:rPr>
                <w:sz w:val="24"/>
                <w:szCs w:val="24"/>
              </w:rPr>
              <w:t xml:space="preserve"> år</w:t>
            </w:r>
          </w:p>
        </w:tc>
        <w:tc>
          <w:tcPr>
            <w:tcW w:w="16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0F5C" w:rsidRPr="003A0EED" w:rsidRDefault="00CF0F5C" w:rsidP="003A0EED">
            <w:pPr>
              <w:jc w:val="center"/>
              <w:rPr>
                <w:sz w:val="24"/>
                <w:szCs w:val="24"/>
              </w:rPr>
            </w:pPr>
            <w:r w:rsidRPr="003A0EED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92</w:t>
            </w:r>
            <w:r w:rsidRPr="003A0EED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0F5C" w:rsidRPr="00001EEA" w:rsidRDefault="00EE075B" w:rsidP="00001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="006038D8">
              <w:rPr>
                <w:sz w:val="24"/>
                <w:szCs w:val="24"/>
              </w:rPr>
              <w:t>22 -</w:t>
            </w:r>
            <w:r w:rsidR="00CF0F5C" w:rsidRPr="00001EEA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0F5C" w:rsidRPr="00001EEA" w:rsidRDefault="00EE075B" w:rsidP="006E3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="00CE3A14">
              <w:rPr>
                <w:sz w:val="24"/>
                <w:szCs w:val="24"/>
              </w:rPr>
              <w:t>105 - 114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0F5C" w:rsidRPr="00001EEA" w:rsidRDefault="00CF0F5C" w:rsidP="006E37C1">
            <w:pPr>
              <w:jc w:val="center"/>
              <w:rPr>
                <w:sz w:val="24"/>
                <w:szCs w:val="24"/>
              </w:rPr>
            </w:pPr>
            <w:r w:rsidRPr="00001EEA">
              <w:rPr>
                <w:sz w:val="24"/>
                <w:szCs w:val="24"/>
              </w:rPr>
              <w:t>&lt;60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0F5C" w:rsidRPr="00001EEA" w:rsidRDefault="00CE3A14" w:rsidP="00001EEA">
            <w:pPr>
              <w:jc w:val="center"/>
              <w:rPr>
                <w:sz w:val="24"/>
                <w:szCs w:val="24"/>
              </w:rPr>
            </w:pPr>
            <w:r w:rsidRPr="00CE3A14">
              <w:rPr>
                <w:sz w:val="20"/>
                <w:szCs w:val="20"/>
              </w:rPr>
              <w:t xml:space="preserve">Kald/klam hud eller </w:t>
            </w:r>
            <w:proofErr w:type="spellStart"/>
            <w:r w:rsidRPr="00CE3A14">
              <w:rPr>
                <w:sz w:val="20"/>
                <w:szCs w:val="20"/>
              </w:rPr>
              <w:t>kap</w:t>
            </w:r>
            <w:proofErr w:type="spellEnd"/>
            <w:r w:rsidRPr="00CE3A14">
              <w:rPr>
                <w:sz w:val="20"/>
                <w:szCs w:val="20"/>
              </w:rPr>
              <w:t>.-fylling ≥ 3 sek</w:t>
            </w:r>
          </w:p>
        </w:tc>
        <w:tc>
          <w:tcPr>
            <w:tcW w:w="28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0F5C" w:rsidRPr="00DA3E8D" w:rsidRDefault="00CF0F5C" w:rsidP="00001EEA">
            <w:pPr>
              <w:jc w:val="center"/>
              <w:rPr>
                <w:sz w:val="20"/>
                <w:szCs w:val="20"/>
              </w:rPr>
            </w:pPr>
            <w:r w:rsidRPr="00DA3E8D">
              <w:rPr>
                <w:sz w:val="20"/>
                <w:szCs w:val="20"/>
              </w:rPr>
              <w:t>Redusert aktivitet og respons</w:t>
            </w:r>
          </w:p>
        </w:tc>
      </w:tr>
      <w:tr w:rsidR="00DA3E8D" w:rsidTr="00DA3E8D">
        <w:trPr>
          <w:trHeight w:val="510"/>
        </w:trPr>
        <w:tc>
          <w:tcPr>
            <w:tcW w:w="21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0F5C" w:rsidRPr="00001EEA" w:rsidRDefault="00DA3E8D" w:rsidP="00B8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F0F5C" w:rsidRPr="00001EEA">
              <w:rPr>
                <w:sz w:val="24"/>
                <w:szCs w:val="24"/>
              </w:rPr>
              <w:t>-17 år</w:t>
            </w:r>
          </w:p>
        </w:tc>
        <w:tc>
          <w:tcPr>
            <w:tcW w:w="1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0F5C" w:rsidRPr="003A0EED" w:rsidRDefault="00190640" w:rsidP="003A0EED">
            <w:pPr>
              <w:jc w:val="center"/>
              <w:rPr>
                <w:sz w:val="24"/>
                <w:szCs w:val="24"/>
              </w:rPr>
            </w:pPr>
            <w:r w:rsidRPr="00190640">
              <w:rPr>
                <w:sz w:val="24"/>
                <w:szCs w:val="24"/>
              </w:rPr>
              <w:t>≤92%**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0F5C" w:rsidRPr="00001EEA" w:rsidRDefault="00EE075B" w:rsidP="00001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="00CF0F5C" w:rsidRPr="00001EEA">
              <w:rPr>
                <w:sz w:val="24"/>
                <w:szCs w:val="24"/>
              </w:rPr>
              <w:t>21 - 24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0F5C" w:rsidRPr="00001EEA" w:rsidRDefault="00EE075B" w:rsidP="006E3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="006038D8">
              <w:rPr>
                <w:sz w:val="24"/>
                <w:szCs w:val="24"/>
              </w:rPr>
              <w:t>90 -</w:t>
            </w:r>
            <w:r w:rsidR="00CF0F5C" w:rsidRPr="00001EEA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0F5C" w:rsidRPr="00001EEA" w:rsidRDefault="00CF0F5C" w:rsidP="006E37C1">
            <w:pPr>
              <w:jc w:val="center"/>
              <w:rPr>
                <w:sz w:val="24"/>
                <w:szCs w:val="24"/>
              </w:rPr>
            </w:pPr>
            <w:r w:rsidRPr="00001EEA">
              <w:rPr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0F5C" w:rsidRPr="00330437" w:rsidRDefault="00502FAC" w:rsidP="00001EEA">
            <w:pPr>
              <w:jc w:val="center"/>
            </w:pPr>
            <w:proofErr w:type="spellStart"/>
            <w:r w:rsidRPr="00330437">
              <w:t>syst</w:t>
            </w:r>
            <w:proofErr w:type="spellEnd"/>
            <w:r w:rsidRPr="00330437">
              <w:t xml:space="preserve">. BT </w:t>
            </w:r>
            <w:r w:rsidR="00EE075B" w:rsidRPr="00330437">
              <w:t>&lt;</w:t>
            </w:r>
            <w:r w:rsidR="00CF0F5C" w:rsidRPr="00330437">
              <w:t>90-100</w:t>
            </w:r>
            <w:r w:rsidR="00232DBD" w:rsidRPr="00330437">
              <w:t>*</w:t>
            </w:r>
          </w:p>
        </w:tc>
        <w:tc>
          <w:tcPr>
            <w:tcW w:w="28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0F5C" w:rsidRPr="00DA3E8D" w:rsidRDefault="00CF0F5C" w:rsidP="00001EEA">
            <w:pPr>
              <w:jc w:val="center"/>
              <w:rPr>
                <w:sz w:val="20"/>
                <w:szCs w:val="20"/>
              </w:rPr>
            </w:pPr>
            <w:r w:rsidRPr="00DA3E8D">
              <w:rPr>
                <w:sz w:val="20"/>
                <w:szCs w:val="20"/>
              </w:rPr>
              <w:t>Redusert aktivitet og respons</w:t>
            </w:r>
          </w:p>
        </w:tc>
      </w:tr>
    </w:tbl>
    <w:p w:rsidR="00964AE1" w:rsidRDefault="00964AE1" w:rsidP="00E0096D">
      <w:pPr>
        <w:spacing w:line="240" w:lineRule="auto"/>
        <w:rPr>
          <w:b/>
        </w:rPr>
      </w:pPr>
    </w:p>
    <w:p w:rsidR="00553614" w:rsidRPr="00553614" w:rsidRDefault="00553614" w:rsidP="00E0096D">
      <w:pPr>
        <w:spacing w:line="240" w:lineRule="auto"/>
      </w:pPr>
      <w:r w:rsidRPr="00E76D5A">
        <w:rPr>
          <w:b/>
        </w:rPr>
        <w:t xml:space="preserve">Spesielt for respirasjonsfrekvens og pulsfrekvens: </w:t>
      </w:r>
      <w:r w:rsidRPr="00553614">
        <w:t>øvre grense gjelder de yngste i aldersgruppen, nedre grense de eldste</w:t>
      </w:r>
      <w:r>
        <w:t xml:space="preserve"> (for eksempel puls</w:t>
      </w:r>
      <w:r w:rsidR="007C4ACC">
        <w:t>grense</w:t>
      </w:r>
      <w:r>
        <w:t xml:space="preserve"> på 160/min</w:t>
      </w:r>
      <w:r w:rsidR="007C4ACC">
        <w:t xml:space="preserve"> for et nyfødt barn</w:t>
      </w:r>
      <w:r>
        <w:t>, puls</w:t>
      </w:r>
      <w:r w:rsidR="007C4ACC">
        <w:t>grense</w:t>
      </w:r>
      <w:r>
        <w:t xml:space="preserve"> på 150/min</w:t>
      </w:r>
      <w:r w:rsidR="00E76D5A">
        <w:t xml:space="preserve"> for</w:t>
      </w:r>
      <w:r>
        <w:t xml:space="preserve"> barn på nærmere 1 år</w:t>
      </w:r>
      <w:r w:rsidR="00E76D5A">
        <w:t xml:space="preserve"> etc.</w:t>
      </w:r>
      <w:r>
        <w:t>)</w:t>
      </w:r>
      <w:r w:rsidRPr="00553614">
        <w:t>.</w:t>
      </w:r>
    </w:p>
    <w:p w:rsidR="00A33855" w:rsidRPr="00CB43CA" w:rsidRDefault="00E0096D" w:rsidP="00E0096D">
      <w:pPr>
        <w:spacing w:line="240" w:lineRule="auto"/>
        <w:rPr>
          <w:b/>
          <w:color w:val="FF0000"/>
        </w:rPr>
      </w:pPr>
      <w:r w:rsidRPr="00CB43CA">
        <w:rPr>
          <w:b/>
          <w:color w:val="FF0000"/>
        </w:rPr>
        <w:t xml:space="preserve">* </w:t>
      </w:r>
      <w:proofErr w:type="spellStart"/>
      <w:r w:rsidR="00846763">
        <w:rPr>
          <w:b/>
          <w:color w:val="FF0000"/>
        </w:rPr>
        <w:t>Hypot</w:t>
      </w:r>
      <w:r w:rsidR="00CB43CA" w:rsidRPr="00CB43CA">
        <w:rPr>
          <w:b/>
          <w:color w:val="FF0000"/>
        </w:rPr>
        <w:t>ensjon</w:t>
      </w:r>
      <w:proofErr w:type="spellEnd"/>
      <w:r w:rsidR="00CB43CA" w:rsidRPr="00CB43CA">
        <w:rPr>
          <w:b/>
          <w:color w:val="FF0000"/>
        </w:rPr>
        <w:t xml:space="preserve"> er et </w:t>
      </w:r>
      <w:r w:rsidR="00F032DC">
        <w:rPr>
          <w:b/>
          <w:color w:val="FF0000"/>
        </w:rPr>
        <w:t xml:space="preserve">forholdsvis </w:t>
      </w:r>
      <w:r w:rsidR="00CB43CA" w:rsidRPr="00CB43CA">
        <w:rPr>
          <w:b/>
          <w:color w:val="FF0000"/>
        </w:rPr>
        <w:t xml:space="preserve">sent tegn ved sepsis hos barn, måling av blodtrykk </w:t>
      </w:r>
      <w:r w:rsidR="00BA5540">
        <w:rPr>
          <w:b/>
          <w:color w:val="FF0000"/>
        </w:rPr>
        <w:t xml:space="preserve">hos de minste </w:t>
      </w:r>
      <w:r w:rsidR="00CB43CA" w:rsidRPr="00CB43CA">
        <w:rPr>
          <w:b/>
          <w:color w:val="FF0000"/>
        </w:rPr>
        <w:t xml:space="preserve">er dessuten </w:t>
      </w:r>
      <w:r w:rsidR="004C6282" w:rsidRPr="00CB43CA">
        <w:rPr>
          <w:b/>
          <w:color w:val="FF0000"/>
        </w:rPr>
        <w:t xml:space="preserve">ofte </w:t>
      </w:r>
      <w:r w:rsidR="00BA5540">
        <w:rPr>
          <w:b/>
          <w:color w:val="FF0000"/>
        </w:rPr>
        <w:t>vanskelig å gjennomføre</w:t>
      </w:r>
      <w:r w:rsidRPr="00CB43CA">
        <w:rPr>
          <w:b/>
          <w:color w:val="FF0000"/>
        </w:rPr>
        <w:t xml:space="preserve">. </w:t>
      </w:r>
      <w:r w:rsidR="00CB43CA">
        <w:rPr>
          <w:b/>
          <w:color w:val="FF0000"/>
        </w:rPr>
        <w:t>I</w:t>
      </w:r>
      <w:r w:rsidR="004C6282" w:rsidRPr="00CB43CA">
        <w:rPr>
          <w:b/>
          <w:color w:val="FF0000"/>
        </w:rPr>
        <w:t xml:space="preserve">ndirekte indikatorer for </w:t>
      </w:r>
      <w:r w:rsidR="00B3091E" w:rsidRPr="00CB43CA">
        <w:rPr>
          <w:b/>
          <w:color w:val="FF0000"/>
        </w:rPr>
        <w:t xml:space="preserve">vurdering av </w:t>
      </w:r>
      <w:r w:rsidR="004C6282" w:rsidRPr="00CB43CA">
        <w:rPr>
          <w:b/>
          <w:color w:val="FF0000"/>
        </w:rPr>
        <w:t>sirkulasjon</w:t>
      </w:r>
      <w:r w:rsidR="00B3091E" w:rsidRPr="00CB43CA">
        <w:rPr>
          <w:b/>
          <w:color w:val="FF0000"/>
        </w:rPr>
        <w:t>sstatus</w:t>
      </w:r>
      <w:r w:rsidR="00BA5540">
        <w:rPr>
          <w:b/>
          <w:color w:val="FF0000"/>
        </w:rPr>
        <w:t xml:space="preserve"> som hudstatus, </w:t>
      </w:r>
      <w:r w:rsidR="004C6282" w:rsidRPr="00CB43CA">
        <w:rPr>
          <w:b/>
          <w:color w:val="FF0000"/>
        </w:rPr>
        <w:t xml:space="preserve">kapillarfylling </w:t>
      </w:r>
      <w:r w:rsidR="00B3091E" w:rsidRPr="00CB43CA">
        <w:rPr>
          <w:b/>
          <w:color w:val="FF0000"/>
        </w:rPr>
        <w:t>eller</w:t>
      </w:r>
      <w:r w:rsidR="004C6282" w:rsidRPr="00CB43CA">
        <w:rPr>
          <w:b/>
          <w:color w:val="FF0000"/>
        </w:rPr>
        <w:t xml:space="preserve"> urinproduksjon </w:t>
      </w:r>
      <w:r w:rsidR="00BA5540">
        <w:rPr>
          <w:b/>
          <w:color w:val="FF0000"/>
        </w:rPr>
        <w:t>kan derfor benyttes</w:t>
      </w:r>
      <w:r w:rsidR="004C6282" w:rsidRPr="00CB43CA">
        <w:rPr>
          <w:b/>
          <w:color w:val="FF0000"/>
        </w:rPr>
        <w:t>. Kald</w:t>
      </w:r>
      <w:r w:rsidR="00BA5540">
        <w:rPr>
          <w:b/>
          <w:color w:val="FF0000"/>
        </w:rPr>
        <w:t xml:space="preserve">, </w:t>
      </w:r>
      <w:r w:rsidR="004C6282" w:rsidRPr="00CB43CA">
        <w:rPr>
          <w:b/>
          <w:color w:val="FF0000"/>
        </w:rPr>
        <w:t xml:space="preserve">klam </w:t>
      </w:r>
      <w:r w:rsidR="00BA5540">
        <w:rPr>
          <w:b/>
          <w:color w:val="FF0000"/>
        </w:rPr>
        <w:t xml:space="preserve">eller marmorert </w:t>
      </w:r>
      <w:r w:rsidR="004C6282" w:rsidRPr="00CB43CA">
        <w:rPr>
          <w:b/>
          <w:color w:val="FF0000"/>
        </w:rPr>
        <w:t>h</w:t>
      </w:r>
      <w:r w:rsidR="00CB43CA">
        <w:rPr>
          <w:b/>
          <w:color w:val="FF0000"/>
        </w:rPr>
        <w:t>ud/</w:t>
      </w:r>
      <w:r w:rsidR="00B3091E" w:rsidRPr="00CB43CA">
        <w:rPr>
          <w:b/>
          <w:color w:val="FF0000"/>
        </w:rPr>
        <w:t xml:space="preserve"> forlenget kapillarfylling</w:t>
      </w:r>
      <w:r w:rsidR="00CB43CA">
        <w:rPr>
          <w:b/>
          <w:color w:val="FF0000"/>
        </w:rPr>
        <w:t xml:space="preserve"> (≥ 3 sek)  /</w:t>
      </w:r>
      <w:r w:rsidR="004C6282" w:rsidRPr="00CB43CA">
        <w:rPr>
          <w:b/>
          <w:color w:val="FF0000"/>
        </w:rPr>
        <w:t xml:space="preserve">nedsatt urinproduksjon </w:t>
      </w:r>
      <w:r w:rsidR="00BA5540">
        <w:rPr>
          <w:b/>
          <w:color w:val="FF0000"/>
        </w:rPr>
        <w:t>kan alle være tegn til</w:t>
      </w:r>
      <w:r w:rsidR="004C6282" w:rsidRPr="00CB43CA">
        <w:rPr>
          <w:b/>
          <w:color w:val="FF0000"/>
        </w:rPr>
        <w:t xml:space="preserve"> dårlig sirkulasjon. </w:t>
      </w:r>
      <w:r w:rsidR="00BA5540">
        <w:rPr>
          <w:b/>
          <w:color w:val="FF0000"/>
        </w:rPr>
        <w:t xml:space="preserve"> Pasientens sirkulasjon vurderes som</w:t>
      </w:r>
      <w:r w:rsidR="00B3091E" w:rsidRPr="00CB43CA">
        <w:rPr>
          <w:b/>
          <w:color w:val="FF0000"/>
        </w:rPr>
        <w:t xml:space="preserve"> påvirket ved avvik ved 1 av faktorene (enten hudstatus, eller kapillarfylling eller urinproduksjon). </w:t>
      </w:r>
      <w:r w:rsidR="004C6282" w:rsidRPr="00CB43CA">
        <w:rPr>
          <w:b/>
          <w:color w:val="FF0000"/>
        </w:rPr>
        <w:t xml:space="preserve">  </w:t>
      </w:r>
      <w:r w:rsidRPr="00CB43CA">
        <w:rPr>
          <w:b/>
          <w:color w:val="FF0000"/>
        </w:rPr>
        <w:t xml:space="preserve"> </w:t>
      </w:r>
    </w:p>
    <w:p w:rsidR="00696ADB" w:rsidRDefault="008D72B8" w:rsidP="00020C92">
      <w:pPr>
        <w:spacing w:line="240" w:lineRule="auto"/>
      </w:pPr>
      <w:r>
        <w:t>**eller behov for ekstra oksygentilførsel</w:t>
      </w:r>
    </w:p>
    <w:p w:rsidR="00964AE1" w:rsidRDefault="00964AE1" w:rsidP="00E71B0F">
      <w:pPr>
        <w:spacing w:line="240" w:lineRule="auto"/>
        <w:jc w:val="right"/>
        <w:rPr>
          <w:sz w:val="20"/>
          <w:szCs w:val="20"/>
        </w:rPr>
      </w:pPr>
    </w:p>
    <w:p w:rsidR="00E71B0F" w:rsidRPr="00E71B0F" w:rsidRDefault="00E71B0F" w:rsidP="00E71B0F">
      <w:pPr>
        <w:spacing w:line="240" w:lineRule="auto"/>
        <w:jc w:val="right"/>
        <w:rPr>
          <w:sz w:val="20"/>
          <w:szCs w:val="20"/>
        </w:rPr>
      </w:pPr>
      <w:r w:rsidRPr="00E71B0F">
        <w:rPr>
          <w:sz w:val="20"/>
          <w:szCs w:val="20"/>
        </w:rPr>
        <w:t>Germar Schneider, NMTG, april 2017</w:t>
      </w:r>
    </w:p>
    <w:sectPr w:rsidR="00E71B0F" w:rsidRPr="00E71B0F" w:rsidSect="007D3A6F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39F"/>
    <w:multiLevelType w:val="hybridMultilevel"/>
    <w:tmpl w:val="2E32BB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64054"/>
    <w:multiLevelType w:val="hybridMultilevel"/>
    <w:tmpl w:val="55FC248C"/>
    <w:lvl w:ilvl="0" w:tplc="86D29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059D4"/>
    <w:multiLevelType w:val="hybridMultilevel"/>
    <w:tmpl w:val="71B6E348"/>
    <w:lvl w:ilvl="0" w:tplc="22D46A2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B"/>
    <w:rsid w:val="00001EEA"/>
    <w:rsid w:val="00020C92"/>
    <w:rsid w:val="00037302"/>
    <w:rsid w:val="00190640"/>
    <w:rsid w:val="00232DBD"/>
    <w:rsid w:val="00322F3C"/>
    <w:rsid w:val="00330437"/>
    <w:rsid w:val="003A0EED"/>
    <w:rsid w:val="003C28EE"/>
    <w:rsid w:val="004A63C8"/>
    <w:rsid w:val="004C6282"/>
    <w:rsid w:val="00502FAC"/>
    <w:rsid w:val="005169DA"/>
    <w:rsid w:val="00534364"/>
    <w:rsid w:val="00551E26"/>
    <w:rsid w:val="00553614"/>
    <w:rsid w:val="005755F7"/>
    <w:rsid w:val="00593BA3"/>
    <w:rsid w:val="006038D8"/>
    <w:rsid w:val="006207B8"/>
    <w:rsid w:val="00696ADB"/>
    <w:rsid w:val="0071279B"/>
    <w:rsid w:val="007C4ACC"/>
    <w:rsid w:val="007D3A6F"/>
    <w:rsid w:val="0083045E"/>
    <w:rsid w:val="00846763"/>
    <w:rsid w:val="00877AF7"/>
    <w:rsid w:val="008D72B8"/>
    <w:rsid w:val="009400EE"/>
    <w:rsid w:val="00964AE1"/>
    <w:rsid w:val="00966A7B"/>
    <w:rsid w:val="00A213B3"/>
    <w:rsid w:val="00A33855"/>
    <w:rsid w:val="00A42207"/>
    <w:rsid w:val="00A620B5"/>
    <w:rsid w:val="00AC62AD"/>
    <w:rsid w:val="00B3091E"/>
    <w:rsid w:val="00B54A34"/>
    <w:rsid w:val="00B74AB2"/>
    <w:rsid w:val="00B855BB"/>
    <w:rsid w:val="00BA5540"/>
    <w:rsid w:val="00BD4910"/>
    <w:rsid w:val="00C1193F"/>
    <w:rsid w:val="00C2438C"/>
    <w:rsid w:val="00CB43CA"/>
    <w:rsid w:val="00CE3A14"/>
    <w:rsid w:val="00CF0F5C"/>
    <w:rsid w:val="00D950CA"/>
    <w:rsid w:val="00DA3E8D"/>
    <w:rsid w:val="00DA63E1"/>
    <w:rsid w:val="00E0096D"/>
    <w:rsid w:val="00E31243"/>
    <w:rsid w:val="00E47D82"/>
    <w:rsid w:val="00E71B0F"/>
    <w:rsid w:val="00E76D5A"/>
    <w:rsid w:val="00ED3A47"/>
    <w:rsid w:val="00EE075B"/>
    <w:rsid w:val="00EE2D92"/>
    <w:rsid w:val="00F032DC"/>
    <w:rsid w:val="00F91697"/>
    <w:rsid w:val="00F95ADE"/>
    <w:rsid w:val="00FC572D"/>
    <w:rsid w:val="00F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ACAA"/>
  <w15:docId w15:val="{AAEA43EF-9E43-42D2-85FB-AFA5F65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96ADB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9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C62A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2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0C92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B74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ice.org.uk/guidance/ng51/evidence/full-guideline-25515232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ce.org.uk/guidance/ng51/resources/algorithm-for-managing-suspected-sepsis-in-children-aged-511-years-in-an-acute-hospital-setting-918534855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7D27-C3B9-4C34-9FB7-2127F357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Germar Schneider</dc:creator>
  <cp:lastModifiedBy>Tale Brokstad</cp:lastModifiedBy>
  <cp:revision>2</cp:revision>
  <cp:lastPrinted>2017-04-26T08:37:00Z</cp:lastPrinted>
  <dcterms:created xsi:type="dcterms:W3CDTF">2017-05-03T14:15:00Z</dcterms:created>
  <dcterms:modified xsi:type="dcterms:W3CDTF">2017-05-03T14:15:00Z</dcterms:modified>
</cp:coreProperties>
</file>